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6849C6" w14:textId="1293C087" w:rsidR="0098178F" w:rsidRDefault="0098178F" w:rsidP="0098178F">
      <w:pPr>
        <w:pStyle w:val="BodyText"/>
        <w:spacing w:before="240" w:after="240"/>
        <w:ind w:right="284"/>
        <w:rPr>
          <w:rFonts w:ascii="Arial" w:hAnsi="Arial" w:cs="Arial"/>
          <w:b/>
          <w:bCs/>
          <w:sz w:val="44"/>
          <w:szCs w:val="44"/>
        </w:rPr>
      </w:pPr>
      <w:r>
        <w:rPr>
          <w:noProof/>
          <w:lang w:val="en-GB" w:eastAsia="en-GB" w:bidi="ar-SA"/>
        </w:rPr>
        <w:drawing>
          <wp:anchor distT="0" distB="0" distL="114300" distR="114300" simplePos="0" relativeHeight="251659264" behindDoc="0" locked="0" layoutInCell="1" allowOverlap="1" wp14:anchorId="1FC91072" wp14:editId="7F0A19D8">
            <wp:simplePos x="0" y="0"/>
            <wp:positionH relativeFrom="column">
              <wp:posOffset>0</wp:posOffset>
            </wp:positionH>
            <wp:positionV relativeFrom="paragraph">
              <wp:posOffset>0</wp:posOffset>
            </wp:positionV>
            <wp:extent cx="2360472" cy="606934"/>
            <wp:effectExtent l="0" t="0" r="1905"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r-logo-blac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60472" cy="606934"/>
                    </a:xfrm>
                    <a:prstGeom prst="rect">
                      <a:avLst/>
                    </a:prstGeom>
                  </pic:spPr>
                </pic:pic>
              </a:graphicData>
            </a:graphic>
            <wp14:sizeRelH relativeFrom="page">
              <wp14:pctWidth>0</wp14:pctWidth>
            </wp14:sizeRelH>
            <wp14:sizeRelV relativeFrom="page">
              <wp14:pctHeight>0</wp14:pctHeight>
            </wp14:sizeRelV>
          </wp:anchor>
        </w:drawing>
      </w:r>
    </w:p>
    <w:p w14:paraId="022F0CBF" w14:textId="447412C3" w:rsidR="00BC0E81" w:rsidRPr="00BC0E81" w:rsidRDefault="00BC0E81" w:rsidP="005D476D">
      <w:pPr>
        <w:pStyle w:val="BodyText"/>
        <w:shd w:val="clear" w:color="auto" w:fill="000000" w:themeFill="text1"/>
        <w:spacing w:before="240" w:after="240"/>
        <w:ind w:right="284"/>
        <w:jc w:val="center"/>
        <w:rPr>
          <w:rFonts w:ascii="Arial" w:hAnsi="Arial" w:cs="Arial"/>
          <w:b/>
          <w:bCs/>
          <w:sz w:val="44"/>
          <w:szCs w:val="44"/>
        </w:rPr>
      </w:pPr>
      <w:r w:rsidRPr="00211153">
        <w:rPr>
          <w:rFonts w:ascii="Arial" w:hAnsi="Arial" w:cs="Arial"/>
          <w:b/>
          <w:bCs/>
          <w:sz w:val="44"/>
          <w:szCs w:val="44"/>
        </w:rPr>
        <w:t>P</w:t>
      </w:r>
      <w:r w:rsidR="006B16B0">
        <w:rPr>
          <w:rFonts w:ascii="Arial" w:hAnsi="Arial" w:cs="Arial"/>
          <w:b/>
          <w:bCs/>
          <w:sz w:val="44"/>
          <w:szCs w:val="44"/>
        </w:rPr>
        <w:t>r</w:t>
      </w:r>
      <w:r w:rsidRPr="00211153">
        <w:rPr>
          <w:rFonts w:ascii="Arial" w:hAnsi="Arial" w:cs="Arial"/>
          <w:b/>
          <w:bCs/>
          <w:sz w:val="44"/>
          <w:szCs w:val="44"/>
        </w:rPr>
        <w:t>o</w:t>
      </w:r>
      <w:r w:rsidR="006B16B0">
        <w:rPr>
          <w:rFonts w:ascii="Arial" w:hAnsi="Arial" w:cs="Arial"/>
          <w:b/>
          <w:bCs/>
          <w:sz w:val="44"/>
          <w:szCs w:val="44"/>
        </w:rPr>
        <w:t xml:space="preserve">cedure – </w:t>
      </w:r>
      <w:r w:rsidR="006C1C40">
        <w:rPr>
          <w:rFonts w:ascii="Arial" w:hAnsi="Arial" w:cs="Arial"/>
          <w:b/>
          <w:bCs/>
          <w:sz w:val="44"/>
          <w:szCs w:val="44"/>
        </w:rPr>
        <w:t>Misconduct Investigation</w:t>
      </w:r>
    </w:p>
    <w:p w14:paraId="3E936493" w14:textId="77777777" w:rsidR="00CC3032" w:rsidRDefault="00CC3032" w:rsidP="00CC3032">
      <w:pPr>
        <w:widowControl w:val="0"/>
        <w:pBdr>
          <w:top w:val="nil"/>
          <w:left w:val="nil"/>
          <w:bottom w:val="nil"/>
          <w:right w:val="nil"/>
          <w:between w:val="nil"/>
        </w:pBdr>
        <w:tabs>
          <w:tab w:val="left" w:pos="200"/>
        </w:tabs>
        <w:spacing w:before="240" w:after="240" w:line="360" w:lineRule="auto"/>
        <w:ind w:right="285"/>
        <w:jc w:val="both"/>
        <w:rPr>
          <w:rFonts w:ascii="Arial" w:eastAsia="Arial" w:hAnsi="Arial" w:cs="Arial"/>
          <w:b/>
          <w:color w:val="000000"/>
          <w:sz w:val="28"/>
          <w:szCs w:val="28"/>
        </w:rPr>
      </w:pPr>
      <w:r>
        <w:rPr>
          <w:rFonts w:ascii="Arial" w:eastAsia="Arial" w:hAnsi="Arial" w:cs="Arial"/>
          <w:b/>
          <w:color w:val="000000"/>
          <w:sz w:val="28"/>
          <w:szCs w:val="28"/>
        </w:rPr>
        <w:t xml:space="preserve">1. </w:t>
      </w:r>
      <w:r>
        <w:rPr>
          <w:rFonts w:ascii="Arial" w:eastAsia="Arial" w:hAnsi="Arial" w:cs="Arial"/>
          <w:b/>
          <w:color w:val="000000"/>
          <w:sz w:val="28"/>
          <w:szCs w:val="28"/>
        </w:rPr>
        <w:tab/>
        <w:t>Rationale &amp; principles for the procedure</w:t>
      </w:r>
    </w:p>
    <w:p w14:paraId="37864401" w14:textId="77777777" w:rsidR="00CC3032" w:rsidRDefault="00CC3032" w:rsidP="00CC3032">
      <w:pPr>
        <w:widowControl w:val="0"/>
        <w:numPr>
          <w:ilvl w:val="0"/>
          <w:numId w:val="20"/>
        </w:numPr>
        <w:pBdr>
          <w:top w:val="nil"/>
          <w:left w:val="nil"/>
          <w:bottom w:val="nil"/>
          <w:right w:val="nil"/>
          <w:between w:val="nil"/>
        </w:pBdr>
        <w:tabs>
          <w:tab w:val="left" w:pos="200"/>
        </w:tabs>
        <w:spacing w:before="240" w:after="240" w:line="360" w:lineRule="auto"/>
        <w:ind w:right="285"/>
        <w:jc w:val="both"/>
        <w:rPr>
          <w:rFonts w:ascii="Arial" w:eastAsia="Arial" w:hAnsi="Arial" w:cs="Arial"/>
          <w:color w:val="000000"/>
        </w:rPr>
      </w:pPr>
      <w:r>
        <w:rPr>
          <w:rFonts w:ascii="Arial" w:eastAsia="Arial" w:hAnsi="Arial" w:cs="Arial"/>
          <w:color w:val="000000"/>
        </w:rPr>
        <w:t xml:space="preserve">This process is designed for addressing allegations of misconduct, </w:t>
      </w:r>
      <w:r>
        <w:rPr>
          <w:rFonts w:ascii="Arial" w:eastAsia="Arial" w:hAnsi="Arial" w:cs="Arial"/>
          <w:color w:val="000000"/>
        </w:rPr>
        <w:br/>
        <w:t xml:space="preserve">inside a community of faith, where a formal process is required to make findings for implementation of risk management and/or disciplinary actions. </w:t>
      </w:r>
    </w:p>
    <w:p w14:paraId="34EBA3B8" w14:textId="77777777" w:rsidR="00CC3032" w:rsidRDefault="00CC3032" w:rsidP="00CC3032">
      <w:pPr>
        <w:widowControl w:val="0"/>
        <w:pBdr>
          <w:top w:val="nil"/>
          <w:left w:val="nil"/>
          <w:bottom w:val="nil"/>
          <w:right w:val="nil"/>
          <w:between w:val="nil"/>
        </w:pBdr>
        <w:tabs>
          <w:tab w:val="left" w:pos="200"/>
        </w:tabs>
        <w:spacing w:before="240" w:after="240" w:line="360" w:lineRule="auto"/>
        <w:ind w:left="720" w:right="285"/>
        <w:jc w:val="both"/>
        <w:rPr>
          <w:rFonts w:ascii="Arial" w:eastAsia="Arial" w:hAnsi="Arial" w:cs="Arial"/>
          <w:i/>
          <w:color w:val="000000"/>
        </w:rPr>
      </w:pPr>
      <w:r>
        <w:rPr>
          <w:rFonts w:ascii="Arial" w:eastAsia="Arial" w:hAnsi="Arial" w:cs="Arial"/>
          <w:i/>
          <w:color w:val="000000"/>
        </w:rPr>
        <w:t xml:space="preserve">Misconduct is defined as allegations that if proven of have been more likely to have occurred than not (on the balance of probabilities), would lead to: restrictions being placed on a worker’s role, or dismissal from a role or removal from a position (volunteer or paid), and may also lead to restrictions on the person’s attendance or involvement in the church. </w:t>
      </w:r>
    </w:p>
    <w:p w14:paraId="4EF49D03" w14:textId="77777777" w:rsidR="00CC3032" w:rsidRDefault="00CC3032" w:rsidP="00CC3032">
      <w:pPr>
        <w:widowControl w:val="0"/>
        <w:pBdr>
          <w:top w:val="nil"/>
          <w:left w:val="nil"/>
          <w:bottom w:val="nil"/>
          <w:right w:val="nil"/>
          <w:between w:val="nil"/>
        </w:pBdr>
        <w:tabs>
          <w:tab w:val="left" w:pos="200"/>
        </w:tabs>
        <w:spacing w:before="240" w:after="240" w:line="360" w:lineRule="auto"/>
        <w:ind w:left="720" w:right="285"/>
        <w:jc w:val="both"/>
        <w:rPr>
          <w:rFonts w:ascii="Arial" w:eastAsia="Arial" w:hAnsi="Arial" w:cs="Arial"/>
          <w:i/>
          <w:color w:val="000000"/>
        </w:rPr>
      </w:pPr>
      <w:r>
        <w:rPr>
          <w:rFonts w:ascii="Arial" w:eastAsia="Arial" w:hAnsi="Arial" w:cs="Arial"/>
          <w:i/>
          <w:color w:val="000000"/>
        </w:rPr>
        <w:t xml:space="preserve">Misconduct includes, but is not limited to, allegations of; child abuse and neglect, sexual harassment, sexual misconduct and sexual abuse, financial impropriety, bullying behaviours, and allegations of domestic and family violence.  </w:t>
      </w:r>
    </w:p>
    <w:p w14:paraId="19386DC2" w14:textId="77777777" w:rsidR="00CC3032" w:rsidRDefault="00CC3032" w:rsidP="00CC3032">
      <w:pPr>
        <w:widowControl w:val="0"/>
        <w:pBdr>
          <w:top w:val="nil"/>
          <w:left w:val="nil"/>
          <w:bottom w:val="nil"/>
          <w:right w:val="nil"/>
          <w:between w:val="nil"/>
        </w:pBdr>
        <w:tabs>
          <w:tab w:val="left" w:pos="200"/>
        </w:tabs>
        <w:spacing w:before="240" w:after="240" w:line="360" w:lineRule="auto"/>
        <w:ind w:left="720" w:right="285"/>
        <w:jc w:val="both"/>
        <w:rPr>
          <w:rFonts w:ascii="Arial" w:eastAsia="Arial" w:hAnsi="Arial" w:cs="Arial"/>
          <w:color w:val="000000"/>
        </w:rPr>
      </w:pPr>
      <w:r>
        <w:rPr>
          <w:rFonts w:ascii="Arial" w:eastAsia="Arial" w:hAnsi="Arial" w:cs="Arial"/>
          <w:i/>
          <w:color w:val="000000"/>
        </w:rPr>
        <w:t>Workers include volunteers and paid workers in a church.</w:t>
      </w:r>
      <w:r>
        <w:rPr>
          <w:rFonts w:ascii="Arial" w:eastAsia="Arial" w:hAnsi="Arial" w:cs="Arial"/>
          <w:color w:val="000000"/>
        </w:rPr>
        <w:t xml:space="preserve">  </w:t>
      </w:r>
    </w:p>
    <w:p w14:paraId="24D77402" w14:textId="77777777" w:rsidR="00CC3032" w:rsidRDefault="00CC3032" w:rsidP="00CC3032">
      <w:pPr>
        <w:widowControl w:val="0"/>
        <w:numPr>
          <w:ilvl w:val="0"/>
          <w:numId w:val="20"/>
        </w:numPr>
        <w:pBdr>
          <w:top w:val="nil"/>
          <w:left w:val="nil"/>
          <w:bottom w:val="nil"/>
          <w:right w:val="nil"/>
          <w:between w:val="nil"/>
        </w:pBdr>
        <w:tabs>
          <w:tab w:val="left" w:pos="200"/>
        </w:tabs>
        <w:spacing w:before="240" w:after="240" w:line="360" w:lineRule="auto"/>
        <w:ind w:right="285"/>
        <w:jc w:val="both"/>
        <w:rPr>
          <w:rFonts w:ascii="Arial" w:eastAsia="Arial" w:hAnsi="Arial" w:cs="Arial"/>
          <w:color w:val="000000"/>
        </w:rPr>
      </w:pPr>
      <w:r>
        <w:rPr>
          <w:rFonts w:ascii="Arial" w:eastAsia="Arial" w:hAnsi="Arial" w:cs="Arial"/>
          <w:color w:val="000000"/>
        </w:rPr>
        <w:t xml:space="preserve">In some instances, clergy will be subject to a denominational process. </w:t>
      </w:r>
      <w:r>
        <w:rPr>
          <w:rFonts w:ascii="Arial" w:eastAsia="Arial" w:hAnsi="Arial" w:cs="Arial"/>
          <w:color w:val="000000"/>
        </w:rPr>
        <w:br/>
        <w:t>Where a denominational process exists, it is essential that this is the process implemented in place of this workplace investigation procedure.</w:t>
      </w:r>
    </w:p>
    <w:p w14:paraId="788A43F8" w14:textId="77777777" w:rsidR="00CC3032" w:rsidRDefault="00CC3032" w:rsidP="00CC3032">
      <w:pPr>
        <w:widowControl w:val="0"/>
        <w:numPr>
          <w:ilvl w:val="0"/>
          <w:numId w:val="20"/>
        </w:numPr>
        <w:pBdr>
          <w:top w:val="nil"/>
          <w:left w:val="nil"/>
          <w:bottom w:val="nil"/>
          <w:right w:val="nil"/>
          <w:between w:val="nil"/>
        </w:pBdr>
        <w:tabs>
          <w:tab w:val="left" w:pos="200"/>
        </w:tabs>
        <w:spacing w:before="240" w:after="240" w:line="360" w:lineRule="auto"/>
        <w:ind w:right="285"/>
        <w:jc w:val="both"/>
        <w:rPr>
          <w:rFonts w:ascii="Arial" w:eastAsia="Arial" w:hAnsi="Arial" w:cs="Arial"/>
          <w:color w:val="000000"/>
        </w:rPr>
      </w:pPr>
      <w:r>
        <w:rPr>
          <w:rFonts w:ascii="Arial" w:eastAsia="Arial" w:hAnsi="Arial" w:cs="Arial"/>
          <w:color w:val="000000"/>
        </w:rPr>
        <w:t xml:space="preserve">In some states and territories Reportable Conduct Legislation will apply. </w:t>
      </w:r>
      <w:r>
        <w:rPr>
          <w:rFonts w:ascii="Arial" w:eastAsia="Arial" w:hAnsi="Arial" w:cs="Arial"/>
          <w:color w:val="000000"/>
        </w:rPr>
        <w:br/>
        <w:t xml:space="preserve">As the legislation has different scope and requirements in each </w:t>
      </w:r>
      <w:proofErr w:type="gramStart"/>
      <w:r>
        <w:rPr>
          <w:rFonts w:ascii="Arial" w:eastAsia="Arial" w:hAnsi="Arial" w:cs="Arial"/>
          <w:color w:val="000000"/>
        </w:rPr>
        <w:t>jurisdiction,  apply</w:t>
      </w:r>
      <w:proofErr w:type="gramEnd"/>
      <w:r>
        <w:rPr>
          <w:rFonts w:ascii="Arial" w:eastAsia="Arial" w:hAnsi="Arial" w:cs="Arial"/>
          <w:color w:val="000000"/>
        </w:rPr>
        <w:t xml:space="preserve"> this process as a guide and add in any Reportable Conduct Scheme requirements. For NSW -Office of the Children’s Guardian, ACT – Ombudsman, and Victoria – Children’s Commission.</w:t>
      </w:r>
    </w:p>
    <w:p w14:paraId="6B5E79BA" w14:textId="77777777" w:rsidR="00CC3032" w:rsidRDefault="00CC3032" w:rsidP="00CC3032">
      <w:pPr>
        <w:widowControl w:val="0"/>
        <w:numPr>
          <w:ilvl w:val="0"/>
          <w:numId w:val="20"/>
        </w:numPr>
        <w:pBdr>
          <w:top w:val="nil"/>
          <w:left w:val="nil"/>
          <w:bottom w:val="nil"/>
          <w:right w:val="nil"/>
          <w:between w:val="nil"/>
        </w:pBdr>
        <w:tabs>
          <w:tab w:val="left" w:pos="200"/>
        </w:tabs>
        <w:spacing w:before="240" w:after="240" w:line="360" w:lineRule="auto"/>
        <w:ind w:right="285"/>
        <w:jc w:val="both"/>
        <w:rPr>
          <w:rFonts w:ascii="Arial" w:eastAsia="Arial" w:hAnsi="Arial" w:cs="Arial"/>
          <w:color w:val="000000"/>
        </w:rPr>
      </w:pPr>
      <w:r>
        <w:rPr>
          <w:rFonts w:ascii="Arial" w:eastAsia="Arial" w:hAnsi="Arial" w:cs="Arial"/>
          <w:color w:val="000000"/>
        </w:rPr>
        <w:t xml:space="preserve">It is recommended that this procedure be used in connection with </w:t>
      </w:r>
      <w:proofErr w:type="gramStart"/>
      <w:r>
        <w:rPr>
          <w:rFonts w:ascii="Arial" w:eastAsia="Arial" w:hAnsi="Arial" w:cs="Arial"/>
          <w:color w:val="000000"/>
        </w:rPr>
        <w:t>clearly-defined</w:t>
      </w:r>
      <w:proofErr w:type="gramEnd"/>
      <w:r>
        <w:rPr>
          <w:rFonts w:ascii="Arial" w:eastAsia="Arial" w:hAnsi="Arial" w:cs="Arial"/>
          <w:color w:val="000000"/>
        </w:rPr>
        <w:t xml:space="preserve"> expectations for behaviour for workers (volunteers and paid staff), such as a code of conduct.</w:t>
      </w:r>
    </w:p>
    <w:p w14:paraId="2270BF7F" w14:textId="77777777" w:rsidR="00CC3032" w:rsidRDefault="00CC3032" w:rsidP="00CC3032">
      <w:pPr>
        <w:widowControl w:val="0"/>
        <w:numPr>
          <w:ilvl w:val="0"/>
          <w:numId w:val="20"/>
        </w:numPr>
        <w:pBdr>
          <w:top w:val="nil"/>
          <w:left w:val="nil"/>
          <w:bottom w:val="nil"/>
          <w:right w:val="nil"/>
          <w:between w:val="nil"/>
        </w:pBdr>
        <w:tabs>
          <w:tab w:val="left" w:pos="200"/>
        </w:tabs>
        <w:spacing w:before="240" w:after="240" w:line="360" w:lineRule="auto"/>
        <w:ind w:right="285"/>
        <w:jc w:val="both"/>
        <w:rPr>
          <w:rFonts w:ascii="Arial" w:eastAsia="Arial" w:hAnsi="Arial" w:cs="Arial"/>
          <w:color w:val="000000"/>
        </w:rPr>
      </w:pPr>
      <w:r>
        <w:rPr>
          <w:rFonts w:ascii="Arial" w:eastAsia="Arial" w:hAnsi="Arial" w:cs="Arial"/>
          <w:color w:val="000000"/>
        </w:rPr>
        <w:lastRenderedPageBreak/>
        <w:t xml:space="preserve">This procedure is </w:t>
      </w:r>
      <w:r>
        <w:rPr>
          <w:rFonts w:ascii="Arial" w:eastAsia="Arial" w:hAnsi="Arial" w:cs="Arial"/>
          <w:color w:val="000000"/>
          <w:u w:val="single"/>
        </w:rPr>
        <w:t>not</w:t>
      </w:r>
      <w:r>
        <w:rPr>
          <w:rFonts w:ascii="Arial" w:eastAsia="Arial" w:hAnsi="Arial" w:cs="Arial"/>
          <w:color w:val="000000"/>
        </w:rPr>
        <w:t xml:space="preserve"> designed for use where there are allegations of very minor misconduct which require only admonition and correcting worker behaviour, nor is this process appropriate for resolving conflicts or misunderstandings between parties.  For instances of conflicts between parties a process focussed on restoring relationships, the procedure for resolving misunderstanding and conflicts, is recommended. </w:t>
      </w:r>
    </w:p>
    <w:p w14:paraId="5A6F2667" w14:textId="77777777" w:rsidR="00CC3032" w:rsidRDefault="00CC3032" w:rsidP="00CC3032">
      <w:pPr>
        <w:widowControl w:val="0"/>
        <w:numPr>
          <w:ilvl w:val="0"/>
          <w:numId w:val="20"/>
        </w:numPr>
        <w:pBdr>
          <w:top w:val="nil"/>
          <w:left w:val="nil"/>
          <w:bottom w:val="nil"/>
          <w:right w:val="nil"/>
          <w:between w:val="nil"/>
        </w:pBdr>
        <w:tabs>
          <w:tab w:val="left" w:pos="200"/>
        </w:tabs>
        <w:spacing w:before="240" w:after="240" w:line="360" w:lineRule="auto"/>
        <w:ind w:right="285"/>
        <w:jc w:val="both"/>
        <w:rPr>
          <w:rFonts w:ascii="Arial" w:eastAsia="Arial" w:hAnsi="Arial" w:cs="Arial"/>
          <w:color w:val="000000"/>
        </w:rPr>
      </w:pPr>
      <w:r>
        <w:rPr>
          <w:rFonts w:ascii="Arial" w:eastAsia="Arial" w:hAnsi="Arial" w:cs="Arial"/>
          <w:color w:val="000000"/>
        </w:rPr>
        <w:t xml:space="preserve">For times where a worker (volunteer or paid) or a church member is alleged to have engaged in minor or unknown conduct, or a minor breach of a relevant code of conduct, the matter should be dealt with pastorally by the appropriate local church leader with a view to re-correcting behaviours. </w:t>
      </w:r>
    </w:p>
    <w:p w14:paraId="75213141" w14:textId="77777777" w:rsidR="00CC3032" w:rsidRDefault="00CC3032" w:rsidP="00CC3032">
      <w:pPr>
        <w:widowControl w:val="0"/>
        <w:numPr>
          <w:ilvl w:val="0"/>
          <w:numId w:val="20"/>
        </w:numPr>
        <w:pBdr>
          <w:top w:val="nil"/>
          <w:left w:val="nil"/>
          <w:bottom w:val="nil"/>
          <w:right w:val="nil"/>
          <w:between w:val="nil"/>
        </w:pBdr>
        <w:tabs>
          <w:tab w:val="left" w:pos="200"/>
        </w:tabs>
        <w:spacing w:before="240" w:after="240" w:line="360" w:lineRule="auto"/>
        <w:ind w:right="285"/>
        <w:jc w:val="both"/>
        <w:rPr>
          <w:rFonts w:ascii="Arial" w:eastAsia="Arial" w:hAnsi="Arial" w:cs="Arial"/>
          <w:color w:val="000000"/>
        </w:rPr>
      </w:pPr>
      <w:r>
        <w:rPr>
          <w:rFonts w:ascii="Arial" w:eastAsia="Arial" w:hAnsi="Arial" w:cs="Arial"/>
          <w:color w:val="000000"/>
        </w:rPr>
        <w:t xml:space="preserve">This procedure aims at working through information relating to allegations of more serious misconduct, for findings to ensure all parties are offered natural justice. </w:t>
      </w:r>
    </w:p>
    <w:p w14:paraId="156B83C6" w14:textId="77777777" w:rsidR="00CC3032" w:rsidRDefault="00CC3032" w:rsidP="00CC3032">
      <w:pPr>
        <w:widowControl w:val="0"/>
        <w:numPr>
          <w:ilvl w:val="0"/>
          <w:numId w:val="20"/>
        </w:numPr>
        <w:pBdr>
          <w:top w:val="nil"/>
          <w:left w:val="nil"/>
          <w:bottom w:val="nil"/>
          <w:right w:val="nil"/>
          <w:between w:val="nil"/>
        </w:pBdr>
        <w:tabs>
          <w:tab w:val="left" w:pos="200"/>
        </w:tabs>
        <w:spacing w:before="240" w:after="240" w:line="360" w:lineRule="auto"/>
        <w:ind w:right="285"/>
        <w:jc w:val="both"/>
        <w:rPr>
          <w:rFonts w:ascii="Arial" w:eastAsia="Arial" w:hAnsi="Arial" w:cs="Arial"/>
          <w:color w:val="000000"/>
        </w:rPr>
      </w:pPr>
      <w:r>
        <w:rPr>
          <w:rFonts w:ascii="Arial" w:eastAsia="Arial" w:hAnsi="Arial" w:cs="Arial"/>
          <w:color w:val="000000"/>
        </w:rPr>
        <w:t xml:space="preserve">This procedure is recommended for compliance with legal and insurance requirements such as but not limited to: </w:t>
      </w:r>
    </w:p>
    <w:p w14:paraId="58AB11D4" w14:textId="77777777" w:rsidR="00CC3032" w:rsidRPr="002E75FD" w:rsidRDefault="00CC3032" w:rsidP="00CC3032">
      <w:pPr>
        <w:widowControl w:val="0"/>
        <w:numPr>
          <w:ilvl w:val="0"/>
          <w:numId w:val="22"/>
        </w:numPr>
        <w:pBdr>
          <w:top w:val="nil"/>
          <w:left w:val="nil"/>
          <w:bottom w:val="nil"/>
          <w:right w:val="nil"/>
          <w:between w:val="nil"/>
        </w:pBdr>
        <w:tabs>
          <w:tab w:val="left" w:pos="200"/>
          <w:tab w:val="left" w:pos="426"/>
        </w:tabs>
        <w:spacing w:before="240" w:after="240" w:line="360" w:lineRule="auto"/>
        <w:ind w:right="285"/>
        <w:jc w:val="both"/>
        <w:rPr>
          <w:rFonts w:ascii="Arial" w:eastAsia="Arial" w:hAnsi="Arial" w:cs="Arial"/>
          <w:color w:val="000000"/>
        </w:rPr>
      </w:pPr>
      <w:r>
        <w:rPr>
          <w:rFonts w:ascii="Arial" w:eastAsia="Arial" w:hAnsi="Arial" w:cs="Arial"/>
          <w:color w:val="000000"/>
        </w:rPr>
        <w:t>making findings to report to government agencies, such as Reportable Employee Conduct Schemes (NSW, ACT and Victoria);</w:t>
      </w:r>
    </w:p>
    <w:p w14:paraId="35D7D61F" w14:textId="77777777" w:rsidR="00CC3032" w:rsidRDefault="00CC3032" w:rsidP="00CC3032">
      <w:pPr>
        <w:widowControl w:val="0"/>
        <w:numPr>
          <w:ilvl w:val="0"/>
          <w:numId w:val="22"/>
        </w:numPr>
        <w:pBdr>
          <w:top w:val="nil"/>
          <w:left w:val="nil"/>
          <w:bottom w:val="nil"/>
          <w:right w:val="nil"/>
          <w:between w:val="nil"/>
        </w:pBdr>
        <w:tabs>
          <w:tab w:val="left" w:pos="200"/>
          <w:tab w:val="left" w:pos="426"/>
        </w:tabs>
        <w:spacing w:before="240" w:after="240" w:line="360" w:lineRule="auto"/>
        <w:ind w:right="89"/>
        <w:jc w:val="both"/>
        <w:rPr>
          <w:rFonts w:ascii="Arial" w:eastAsia="Arial" w:hAnsi="Arial" w:cs="Arial"/>
          <w:color w:val="000000"/>
        </w:rPr>
      </w:pPr>
      <w:r>
        <w:rPr>
          <w:rFonts w:ascii="Arial" w:eastAsia="Arial" w:hAnsi="Arial" w:cs="Arial"/>
          <w:color w:val="000000"/>
        </w:rPr>
        <w:t xml:space="preserve">the church’s insurance exclusion, which requires an appropriate investigation into complaints in relation to sexual abuse, where “sexual abuse” includes any assault or abuse of a sexual nature, any type of molestation, indecent exposure, sexual harassment or intimidation, whether such act is the subject of criminal investigation or not, and “injury”, where injury includes any physical, mental or psychological injury; </w:t>
      </w:r>
    </w:p>
    <w:p w14:paraId="343E3084" w14:textId="77777777" w:rsidR="00CC3032" w:rsidRDefault="00CC3032" w:rsidP="00CC3032">
      <w:pPr>
        <w:widowControl w:val="0"/>
        <w:numPr>
          <w:ilvl w:val="0"/>
          <w:numId w:val="22"/>
        </w:numPr>
        <w:pBdr>
          <w:top w:val="nil"/>
          <w:left w:val="nil"/>
          <w:bottom w:val="nil"/>
          <w:right w:val="nil"/>
          <w:between w:val="nil"/>
        </w:pBdr>
        <w:tabs>
          <w:tab w:val="left" w:pos="200"/>
          <w:tab w:val="left" w:pos="426"/>
        </w:tabs>
        <w:spacing w:before="240" w:after="240" w:line="360" w:lineRule="auto"/>
        <w:ind w:right="285"/>
        <w:jc w:val="both"/>
        <w:rPr>
          <w:rFonts w:ascii="Arial" w:eastAsia="Arial" w:hAnsi="Arial" w:cs="Arial"/>
          <w:color w:val="000000"/>
        </w:rPr>
      </w:pPr>
      <w:r>
        <w:rPr>
          <w:rFonts w:ascii="Arial" w:eastAsia="Arial" w:hAnsi="Arial" w:cs="Arial"/>
          <w:color w:val="000000"/>
        </w:rPr>
        <w:t xml:space="preserve">the Workplace Health and Safety Act which classes churches as places of business and all volunteers as workers.  Workers and visitors must be afforded safe emotional and physical environments.  </w:t>
      </w:r>
    </w:p>
    <w:p w14:paraId="31AE26ED" w14:textId="77777777" w:rsidR="00CC3032" w:rsidRDefault="00CC3032">
      <w:pPr>
        <w:spacing w:after="160" w:line="259" w:lineRule="auto"/>
        <w:rPr>
          <w:rFonts w:ascii="Arial" w:eastAsia="Arial" w:hAnsi="Arial" w:cs="Arial"/>
          <w:color w:val="000000"/>
        </w:rPr>
      </w:pPr>
      <w:r>
        <w:rPr>
          <w:rFonts w:ascii="Arial" w:eastAsia="Arial" w:hAnsi="Arial" w:cs="Arial"/>
          <w:color w:val="000000"/>
        </w:rPr>
        <w:br w:type="page"/>
      </w:r>
    </w:p>
    <w:p w14:paraId="50D7F5D8" w14:textId="272E2E2C" w:rsidR="00CC3032" w:rsidRDefault="00CC3032" w:rsidP="00CC3032">
      <w:pPr>
        <w:numPr>
          <w:ilvl w:val="0"/>
          <w:numId w:val="20"/>
        </w:numPr>
        <w:pBdr>
          <w:top w:val="nil"/>
          <w:left w:val="nil"/>
          <w:bottom w:val="nil"/>
          <w:right w:val="nil"/>
          <w:between w:val="nil"/>
        </w:pBdr>
        <w:spacing w:after="160" w:line="360" w:lineRule="auto"/>
        <w:rPr>
          <w:rFonts w:ascii="Arial" w:eastAsia="Arial" w:hAnsi="Arial" w:cs="Arial"/>
          <w:color w:val="000000"/>
        </w:rPr>
      </w:pPr>
      <w:r>
        <w:rPr>
          <w:rFonts w:ascii="Arial" w:eastAsia="Arial" w:hAnsi="Arial" w:cs="Arial"/>
          <w:color w:val="000000"/>
        </w:rPr>
        <w:lastRenderedPageBreak/>
        <w:t xml:space="preserve">Case manager/s, the case response group and all church officer holders (for definitions of these roles, see Safe Ministry Framework Terminology Appendix) shall:  </w:t>
      </w:r>
    </w:p>
    <w:p w14:paraId="07FF3AA9" w14:textId="77777777" w:rsidR="00CC3032" w:rsidRDefault="00CC3032" w:rsidP="00CC3032">
      <w:pPr>
        <w:widowControl w:val="0"/>
        <w:numPr>
          <w:ilvl w:val="0"/>
          <w:numId w:val="28"/>
        </w:numPr>
        <w:pBdr>
          <w:top w:val="nil"/>
          <w:left w:val="nil"/>
          <w:bottom w:val="nil"/>
          <w:right w:val="nil"/>
          <w:between w:val="nil"/>
        </w:pBdr>
        <w:tabs>
          <w:tab w:val="left" w:pos="200"/>
          <w:tab w:val="left" w:pos="993"/>
        </w:tabs>
        <w:spacing w:before="120" w:after="120" w:line="360" w:lineRule="auto"/>
        <w:ind w:right="284" w:hanging="357"/>
        <w:jc w:val="both"/>
        <w:rPr>
          <w:rFonts w:ascii="Arial" w:eastAsia="Arial" w:hAnsi="Arial" w:cs="Arial"/>
          <w:color w:val="000000"/>
        </w:rPr>
      </w:pPr>
      <w:r>
        <w:rPr>
          <w:rFonts w:ascii="Arial" w:eastAsia="Arial" w:hAnsi="Arial" w:cs="Arial"/>
          <w:color w:val="000000"/>
        </w:rPr>
        <w:t>Act fairly, in good faith, without bias and in a dispassionate manner;</w:t>
      </w:r>
    </w:p>
    <w:p w14:paraId="657A1B0B" w14:textId="77777777" w:rsidR="00CC3032" w:rsidRDefault="00CC3032" w:rsidP="00CC3032">
      <w:pPr>
        <w:widowControl w:val="0"/>
        <w:numPr>
          <w:ilvl w:val="0"/>
          <w:numId w:val="28"/>
        </w:numPr>
        <w:pBdr>
          <w:top w:val="nil"/>
          <w:left w:val="nil"/>
          <w:bottom w:val="nil"/>
          <w:right w:val="nil"/>
          <w:between w:val="nil"/>
        </w:pBdr>
        <w:tabs>
          <w:tab w:val="left" w:pos="200"/>
          <w:tab w:val="left" w:pos="993"/>
        </w:tabs>
        <w:spacing w:before="120" w:after="120" w:line="360" w:lineRule="auto"/>
        <w:ind w:right="284" w:hanging="357"/>
        <w:jc w:val="both"/>
        <w:rPr>
          <w:rFonts w:ascii="Arial" w:eastAsia="Arial" w:hAnsi="Arial" w:cs="Arial"/>
          <w:color w:val="000000"/>
        </w:rPr>
      </w:pPr>
      <w:r>
        <w:rPr>
          <w:rFonts w:ascii="Arial" w:eastAsia="Arial" w:hAnsi="Arial" w:cs="Arial"/>
          <w:color w:val="000000"/>
        </w:rPr>
        <w:t>Provide each party the opportunity of adequately stating their case and correcting or contradicting any relevant statement prejudicial to the person’s case;</w:t>
      </w:r>
    </w:p>
    <w:p w14:paraId="186C50F0" w14:textId="77777777" w:rsidR="00CC3032" w:rsidRDefault="00CC3032" w:rsidP="00CC3032">
      <w:pPr>
        <w:widowControl w:val="0"/>
        <w:numPr>
          <w:ilvl w:val="0"/>
          <w:numId w:val="28"/>
        </w:numPr>
        <w:pBdr>
          <w:top w:val="nil"/>
          <w:left w:val="nil"/>
          <w:bottom w:val="nil"/>
          <w:right w:val="nil"/>
          <w:between w:val="nil"/>
        </w:pBdr>
        <w:tabs>
          <w:tab w:val="left" w:pos="200"/>
          <w:tab w:val="left" w:pos="993"/>
        </w:tabs>
        <w:spacing w:before="120" w:after="120" w:line="360" w:lineRule="auto"/>
        <w:ind w:right="284" w:hanging="357"/>
        <w:jc w:val="both"/>
        <w:rPr>
          <w:rFonts w:ascii="Arial" w:eastAsia="Arial" w:hAnsi="Arial" w:cs="Arial"/>
          <w:color w:val="000000"/>
        </w:rPr>
      </w:pPr>
      <w:r>
        <w:rPr>
          <w:rFonts w:ascii="Arial" w:eastAsia="Arial" w:hAnsi="Arial" w:cs="Arial"/>
          <w:color w:val="000000"/>
        </w:rPr>
        <w:t>Not receive information except as part of its information gathering and of assessment of the allegation;</w:t>
      </w:r>
    </w:p>
    <w:p w14:paraId="0E69B5CC" w14:textId="77777777" w:rsidR="00CC3032" w:rsidRDefault="00CC3032" w:rsidP="00CC3032">
      <w:pPr>
        <w:widowControl w:val="0"/>
        <w:numPr>
          <w:ilvl w:val="0"/>
          <w:numId w:val="28"/>
        </w:numPr>
        <w:pBdr>
          <w:top w:val="nil"/>
          <w:left w:val="nil"/>
          <w:bottom w:val="nil"/>
          <w:right w:val="nil"/>
          <w:between w:val="nil"/>
        </w:pBdr>
        <w:tabs>
          <w:tab w:val="left" w:pos="200"/>
          <w:tab w:val="left" w:pos="993"/>
        </w:tabs>
        <w:spacing w:before="120" w:after="120" w:line="360" w:lineRule="auto"/>
        <w:ind w:right="284" w:hanging="357"/>
        <w:jc w:val="both"/>
        <w:rPr>
          <w:rFonts w:ascii="Arial" w:eastAsia="Arial" w:hAnsi="Arial" w:cs="Arial"/>
          <w:color w:val="000000"/>
        </w:rPr>
      </w:pPr>
      <w:r>
        <w:rPr>
          <w:rFonts w:ascii="Arial" w:eastAsia="Arial" w:hAnsi="Arial" w:cs="Arial"/>
          <w:color w:val="000000"/>
        </w:rPr>
        <w:t>Ensure that a person called upon to answer an allegation shall be given in writing the particulars of the allegation being made;</w:t>
      </w:r>
    </w:p>
    <w:p w14:paraId="087005D7" w14:textId="77777777" w:rsidR="00CC3032" w:rsidRDefault="00CC3032" w:rsidP="00CC3032">
      <w:pPr>
        <w:widowControl w:val="0"/>
        <w:numPr>
          <w:ilvl w:val="0"/>
          <w:numId w:val="28"/>
        </w:numPr>
        <w:pBdr>
          <w:top w:val="nil"/>
          <w:left w:val="nil"/>
          <w:bottom w:val="nil"/>
          <w:right w:val="nil"/>
          <w:between w:val="nil"/>
        </w:pBdr>
        <w:tabs>
          <w:tab w:val="left" w:pos="200"/>
          <w:tab w:val="left" w:pos="993"/>
        </w:tabs>
        <w:spacing w:before="120" w:after="120" w:line="360" w:lineRule="auto"/>
        <w:ind w:right="284" w:hanging="357"/>
        <w:jc w:val="both"/>
        <w:rPr>
          <w:rFonts w:ascii="Arial" w:eastAsia="Arial" w:hAnsi="Arial" w:cs="Arial"/>
          <w:color w:val="000000"/>
        </w:rPr>
      </w:pPr>
      <w:r>
        <w:rPr>
          <w:rFonts w:ascii="Arial" w:eastAsia="Arial" w:hAnsi="Arial" w:cs="Arial"/>
          <w:color w:val="000000"/>
        </w:rPr>
        <w:t>Ensure that each party has the opportunity to respond to further statements.</w:t>
      </w:r>
    </w:p>
    <w:p w14:paraId="4C9CBB75" w14:textId="77777777" w:rsidR="00CC3032" w:rsidRDefault="00CC3032" w:rsidP="00CC3032">
      <w:pPr>
        <w:widowControl w:val="0"/>
        <w:numPr>
          <w:ilvl w:val="0"/>
          <w:numId w:val="20"/>
        </w:numPr>
        <w:pBdr>
          <w:top w:val="nil"/>
          <w:left w:val="nil"/>
          <w:bottom w:val="nil"/>
          <w:right w:val="nil"/>
          <w:between w:val="nil"/>
        </w:pBdr>
        <w:tabs>
          <w:tab w:val="left" w:pos="200"/>
        </w:tabs>
        <w:spacing w:before="240" w:after="240" w:line="360" w:lineRule="auto"/>
        <w:ind w:right="285"/>
        <w:jc w:val="both"/>
        <w:rPr>
          <w:rFonts w:ascii="Arial" w:eastAsia="Arial" w:hAnsi="Arial" w:cs="Arial"/>
          <w:color w:val="000000"/>
        </w:rPr>
      </w:pPr>
      <w:r>
        <w:rPr>
          <w:rFonts w:ascii="Arial" w:eastAsia="Arial" w:hAnsi="Arial" w:cs="Arial"/>
          <w:color w:val="000000"/>
        </w:rPr>
        <w:t>The matter is to be managed:</w:t>
      </w:r>
    </w:p>
    <w:p w14:paraId="33D053BE" w14:textId="77777777" w:rsidR="00CC3032" w:rsidRDefault="00CC3032" w:rsidP="00CC3032">
      <w:pPr>
        <w:widowControl w:val="0"/>
        <w:numPr>
          <w:ilvl w:val="0"/>
          <w:numId w:val="27"/>
        </w:numPr>
        <w:pBdr>
          <w:top w:val="nil"/>
          <w:left w:val="nil"/>
          <w:bottom w:val="nil"/>
          <w:right w:val="nil"/>
          <w:between w:val="nil"/>
        </w:pBdr>
        <w:tabs>
          <w:tab w:val="left" w:pos="200"/>
          <w:tab w:val="left" w:pos="426"/>
        </w:tabs>
        <w:spacing w:after="120" w:line="360" w:lineRule="auto"/>
        <w:ind w:left="1145" w:right="284" w:hanging="357"/>
        <w:jc w:val="both"/>
        <w:rPr>
          <w:rFonts w:ascii="Arial" w:eastAsia="Arial" w:hAnsi="Arial" w:cs="Arial"/>
          <w:i/>
          <w:color w:val="000000"/>
        </w:rPr>
      </w:pPr>
      <w:r>
        <w:rPr>
          <w:rFonts w:ascii="Arial" w:eastAsia="Arial" w:hAnsi="Arial" w:cs="Arial"/>
          <w:i/>
          <w:color w:val="000000"/>
        </w:rPr>
        <w:t xml:space="preserve">Without undue delay: </w:t>
      </w:r>
      <w:r>
        <w:rPr>
          <w:rFonts w:ascii="Arial" w:eastAsia="Arial" w:hAnsi="Arial" w:cs="Arial"/>
          <w:color w:val="000000"/>
        </w:rPr>
        <w:t>Acting as quickly as possible shall be a genuine recognition of the seriousness of the allegation. Care should be taken to avoid delays.</w:t>
      </w:r>
    </w:p>
    <w:p w14:paraId="5A296A80" w14:textId="77777777" w:rsidR="00CC3032" w:rsidRDefault="00CC3032" w:rsidP="00CC3032">
      <w:pPr>
        <w:widowControl w:val="0"/>
        <w:numPr>
          <w:ilvl w:val="0"/>
          <w:numId w:val="27"/>
        </w:numPr>
        <w:pBdr>
          <w:top w:val="nil"/>
          <w:left w:val="nil"/>
          <w:bottom w:val="nil"/>
          <w:right w:val="nil"/>
          <w:between w:val="nil"/>
        </w:pBdr>
        <w:tabs>
          <w:tab w:val="left" w:pos="200"/>
          <w:tab w:val="left" w:pos="426"/>
        </w:tabs>
        <w:spacing w:after="120" w:line="360" w:lineRule="auto"/>
        <w:ind w:left="1145" w:right="284" w:hanging="357"/>
        <w:jc w:val="both"/>
        <w:rPr>
          <w:rFonts w:ascii="Arial" w:eastAsia="Arial" w:hAnsi="Arial" w:cs="Arial"/>
          <w:i/>
          <w:color w:val="000000"/>
        </w:rPr>
      </w:pPr>
      <w:r>
        <w:rPr>
          <w:rFonts w:ascii="Arial" w:eastAsia="Arial" w:hAnsi="Arial" w:cs="Arial"/>
          <w:i/>
          <w:color w:val="000000"/>
        </w:rPr>
        <w:t xml:space="preserve">With clear communication: </w:t>
      </w:r>
      <w:r>
        <w:rPr>
          <w:rFonts w:ascii="Arial" w:eastAsia="Arial" w:hAnsi="Arial" w:cs="Arial"/>
          <w:color w:val="000000"/>
        </w:rPr>
        <w:t>All parties should be fully and speedily informed regarding decisions made, the reasons for the decisions and what processes are being used at all stages, particularly where there is any delay.</w:t>
      </w:r>
    </w:p>
    <w:p w14:paraId="01E79F79" w14:textId="77777777" w:rsidR="00CC3032" w:rsidRDefault="00CC3032" w:rsidP="00CC3032">
      <w:pPr>
        <w:widowControl w:val="0"/>
        <w:numPr>
          <w:ilvl w:val="0"/>
          <w:numId w:val="27"/>
        </w:numPr>
        <w:pBdr>
          <w:top w:val="nil"/>
          <w:left w:val="nil"/>
          <w:bottom w:val="nil"/>
          <w:right w:val="nil"/>
          <w:between w:val="nil"/>
        </w:pBdr>
        <w:tabs>
          <w:tab w:val="left" w:pos="200"/>
          <w:tab w:val="left" w:pos="426"/>
        </w:tabs>
        <w:spacing w:after="120" w:line="360" w:lineRule="auto"/>
        <w:ind w:left="1145" w:right="284" w:hanging="357"/>
        <w:jc w:val="both"/>
        <w:rPr>
          <w:rFonts w:ascii="Arial" w:eastAsia="Arial" w:hAnsi="Arial" w:cs="Arial"/>
          <w:i/>
          <w:color w:val="000000"/>
        </w:rPr>
      </w:pPr>
      <w:r>
        <w:rPr>
          <w:rFonts w:ascii="Arial" w:eastAsia="Arial" w:hAnsi="Arial" w:cs="Arial"/>
          <w:i/>
          <w:color w:val="000000"/>
        </w:rPr>
        <w:t xml:space="preserve">In a non-biased manner: </w:t>
      </w:r>
      <w:r>
        <w:rPr>
          <w:rFonts w:ascii="Arial" w:eastAsia="Arial" w:hAnsi="Arial" w:cs="Arial"/>
          <w:color w:val="000000"/>
        </w:rPr>
        <w:t xml:space="preserve">Disputed allegations will be investigated by persons who have no relationship (biological or other) to any party. </w:t>
      </w:r>
    </w:p>
    <w:p w14:paraId="2DDD98CF" w14:textId="77777777" w:rsidR="00CC3032" w:rsidRDefault="00CC3032" w:rsidP="00CC3032">
      <w:pPr>
        <w:widowControl w:val="0"/>
        <w:numPr>
          <w:ilvl w:val="0"/>
          <w:numId w:val="27"/>
        </w:numPr>
        <w:pBdr>
          <w:top w:val="nil"/>
          <w:left w:val="nil"/>
          <w:bottom w:val="nil"/>
          <w:right w:val="nil"/>
          <w:between w:val="nil"/>
        </w:pBdr>
        <w:tabs>
          <w:tab w:val="left" w:pos="200"/>
          <w:tab w:val="left" w:pos="426"/>
        </w:tabs>
        <w:spacing w:after="120" w:line="360" w:lineRule="auto"/>
        <w:ind w:left="1145" w:right="284" w:hanging="357"/>
        <w:jc w:val="both"/>
        <w:rPr>
          <w:rFonts w:ascii="Arial" w:eastAsia="Arial" w:hAnsi="Arial" w:cs="Arial"/>
          <w:i/>
          <w:color w:val="000000"/>
        </w:rPr>
      </w:pPr>
      <w:r>
        <w:rPr>
          <w:rFonts w:ascii="Arial" w:eastAsia="Arial" w:hAnsi="Arial" w:cs="Arial"/>
          <w:i/>
          <w:color w:val="000000"/>
        </w:rPr>
        <w:t xml:space="preserve">Considering conflict of </w:t>
      </w:r>
      <w:proofErr w:type="gramStart"/>
      <w:r>
        <w:rPr>
          <w:rFonts w:ascii="Arial" w:eastAsia="Arial" w:hAnsi="Arial" w:cs="Arial"/>
          <w:i/>
          <w:color w:val="000000"/>
        </w:rPr>
        <w:t xml:space="preserve">interest  </w:t>
      </w:r>
      <w:r>
        <w:rPr>
          <w:rFonts w:ascii="Arial" w:eastAsia="Arial" w:hAnsi="Arial" w:cs="Arial"/>
          <w:color w:val="000000"/>
        </w:rPr>
        <w:t>Disputed</w:t>
      </w:r>
      <w:proofErr w:type="gramEnd"/>
      <w:r>
        <w:rPr>
          <w:rFonts w:ascii="Arial" w:eastAsia="Arial" w:hAnsi="Arial" w:cs="Arial"/>
          <w:color w:val="000000"/>
        </w:rPr>
        <w:t xml:space="preserve"> allegations will be investigated by persons who have no stake in benefiting from any particular outcome of the case.</w:t>
      </w:r>
    </w:p>
    <w:p w14:paraId="293C0B5A" w14:textId="77777777" w:rsidR="00CC3032" w:rsidRDefault="00CC3032" w:rsidP="00CC3032">
      <w:pPr>
        <w:widowControl w:val="0"/>
        <w:numPr>
          <w:ilvl w:val="0"/>
          <w:numId w:val="27"/>
        </w:numPr>
        <w:pBdr>
          <w:top w:val="nil"/>
          <w:left w:val="nil"/>
          <w:bottom w:val="nil"/>
          <w:right w:val="nil"/>
          <w:between w:val="nil"/>
        </w:pBdr>
        <w:tabs>
          <w:tab w:val="left" w:pos="200"/>
          <w:tab w:val="left" w:pos="426"/>
        </w:tabs>
        <w:spacing w:after="120" w:line="360" w:lineRule="auto"/>
        <w:ind w:left="1145" w:right="284" w:hanging="357"/>
        <w:jc w:val="both"/>
        <w:rPr>
          <w:rFonts w:ascii="Arial" w:eastAsia="Arial" w:hAnsi="Arial" w:cs="Arial"/>
          <w:i/>
          <w:color w:val="000000"/>
        </w:rPr>
      </w:pPr>
      <w:r>
        <w:rPr>
          <w:rFonts w:ascii="Arial" w:eastAsia="Arial" w:hAnsi="Arial" w:cs="Arial"/>
          <w:i/>
          <w:color w:val="000000"/>
        </w:rPr>
        <w:t xml:space="preserve">So that evidence-based decisions are made: </w:t>
      </w:r>
      <w:r>
        <w:rPr>
          <w:rFonts w:ascii="Arial" w:eastAsia="Arial" w:hAnsi="Arial" w:cs="Arial"/>
          <w:color w:val="000000"/>
        </w:rPr>
        <w:t xml:space="preserve">Decisions made are to be fact-based. All disputed facts will be independently investigated. All outcomes will be based on the findings of the investigation. The burden of proof shall be on the balance of probabilities. </w:t>
      </w:r>
    </w:p>
    <w:p w14:paraId="7F8C577B" w14:textId="77777777" w:rsidR="00CC3032" w:rsidRDefault="00CC3032" w:rsidP="00CC3032">
      <w:pPr>
        <w:widowControl w:val="0"/>
        <w:numPr>
          <w:ilvl w:val="0"/>
          <w:numId w:val="27"/>
        </w:numPr>
        <w:pBdr>
          <w:top w:val="nil"/>
          <w:left w:val="nil"/>
          <w:bottom w:val="nil"/>
          <w:right w:val="nil"/>
          <w:between w:val="nil"/>
        </w:pBdr>
        <w:tabs>
          <w:tab w:val="left" w:pos="200"/>
          <w:tab w:val="left" w:pos="426"/>
        </w:tabs>
        <w:spacing w:after="120" w:line="360" w:lineRule="auto"/>
        <w:ind w:left="1145" w:right="284" w:hanging="357"/>
        <w:jc w:val="both"/>
        <w:rPr>
          <w:rFonts w:ascii="Arial" w:eastAsia="Arial" w:hAnsi="Arial" w:cs="Arial"/>
          <w:i/>
          <w:color w:val="000000"/>
        </w:rPr>
      </w:pPr>
      <w:r>
        <w:rPr>
          <w:rFonts w:ascii="Arial" w:eastAsia="Arial" w:hAnsi="Arial" w:cs="Arial"/>
          <w:i/>
          <w:color w:val="000000"/>
        </w:rPr>
        <w:lastRenderedPageBreak/>
        <w:t xml:space="preserve">With due consideration of all parties’ privacy:  </w:t>
      </w:r>
      <w:r>
        <w:rPr>
          <w:rFonts w:ascii="Arial" w:eastAsia="Arial" w:hAnsi="Arial" w:cs="Arial"/>
          <w:color w:val="000000"/>
        </w:rPr>
        <w:t xml:space="preserve">Every effort must be made to protect the privacy of all parties. Findings are only to be released with the permission of the Person Subject of the Allegations (PSOA) and/or the person/s bringing complaints.  When preparing the case manager’s report to the employer/head of Relevant Entity, the case manager will focus on the needs </w:t>
      </w:r>
      <w:proofErr w:type="gramStart"/>
      <w:r>
        <w:rPr>
          <w:rFonts w:ascii="Arial" w:eastAsia="Arial" w:hAnsi="Arial" w:cs="Arial"/>
          <w:color w:val="000000"/>
        </w:rPr>
        <w:t>of:</w:t>
      </w:r>
      <w:proofErr w:type="gramEnd"/>
      <w:r>
        <w:rPr>
          <w:rFonts w:ascii="Arial" w:eastAsia="Arial" w:hAnsi="Arial" w:cs="Arial"/>
          <w:color w:val="000000"/>
        </w:rPr>
        <w:t xml:space="preserve">  the person</w:t>
      </w:r>
      <w:r>
        <w:rPr>
          <w:rFonts w:ascii="Arial" w:eastAsia="Arial" w:hAnsi="Arial" w:cs="Arial"/>
          <w:color w:val="000000"/>
          <w:sz w:val="22"/>
          <w:szCs w:val="22"/>
        </w:rPr>
        <w:t xml:space="preserve"> </w:t>
      </w:r>
      <w:r>
        <w:rPr>
          <w:rFonts w:ascii="Arial" w:eastAsia="Arial" w:hAnsi="Arial" w:cs="Arial"/>
          <w:color w:val="000000"/>
        </w:rPr>
        <w:t>bringing the complainant and any family; the PSOA and any family; and the congregation. </w:t>
      </w:r>
    </w:p>
    <w:p w14:paraId="4604F714" w14:textId="77777777" w:rsidR="00CC3032" w:rsidRDefault="00CC3032" w:rsidP="00CC3032">
      <w:pPr>
        <w:widowControl w:val="0"/>
        <w:pBdr>
          <w:top w:val="nil"/>
          <w:left w:val="nil"/>
          <w:bottom w:val="nil"/>
          <w:right w:val="nil"/>
          <w:between w:val="nil"/>
        </w:pBdr>
        <w:tabs>
          <w:tab w:val="left" w:pos="200"/>
        </w:tabs>
        <w:spacing w:before="240" w:after="240" w:line="360" w:lineRule="auto"/>
        <w:ind w:right="285"/>
        <w:jc w:val="both"/>
        <w:rPr>
          <w:rFonts w:ascii="Arial" w:eastAsia="Arial" w:hAnsi="Arial" w:cs="Arial"/>
          <w:b/>
          <w:color w:val="000000"/>
          <w:sz w:val="28"/>
          <w:szCs w:val="28"/>
        </w:rPr>
      </w:pPr>
      <w:r>
        <w:rPr>
          <w:rFonts w:ascii="Arial" w:eastAsia="Arial" w:hAnsi="Arial" w:cs="Arial"/>
          <w:b/>
          <w:color w:val="000000"/>
          <w:sz w:val="28"/>
          <w:szCs w:val="28"/>
        </w:rPr>
        <w:t xml:space="preserve">2.    Procedure </w:t>
      </w:r>
    </w:p>
    <w:p w14:paraId="47879B99" w14:textId="77777777" w:rsidR="00CC3032" w:rsidRDefault="00CC3032" w:rsidP="00CC3032">
      <w:pPr>
        <w:widowControl w:val="0"/>
        <w:pBdr>
          <w:top w:val="nil"/>
          <w:left w:val="nil"/>
          <w:bottom w:val="nil"/>
          <w:right w:val="nil"/>
          <w:between w:val="nil"/>
        </w:pBdr>
        <w:tabs>
          <w:tab w:val="left" w:pos="200"/>
        </w:tabs>
        <w:spacing w:before="240" w:after="240" w:line="360" w:lineRule="auto"/>
        <w:ind w:right="285"/>
        <w:jc w:val="both"/>
        <w:rPr>
          <w:rFonts w:ascii="Arial" w:eastAsia="Arial" w:hAnsi="Arial" w:cs="Arial"/>
          <w:b/>
          <w:color w:val="000000"/>
        </w:rPr>
      </w:pPr>
      <w:r>
        <w:rPr>
          <w:rFonts w:ascii="Arial" w:eastAsia="Arial" w:hAnsi="Arial" w:cs="Arial"/>
          <w:b/>
          <w:color w:val="000000"/>
        </w:rPr>
        <w:t>1. Receipt of allegation/information relating to misconduct</w:t>
      </w:r>
    </w:p>
    <w:p w14:paraId="3869148C" w14:textId="77777777" w:rsidR="00CC3032" w:rsidRDefault="00CC3032" w:rsidP="00CC3032">
      <w:pPr>
        <w:widowControl w:val="0"/>
        <w:numPr>
          <w:ilvl w:val="0"/>
          <w:numId w:val="21"/>
        </w:numPr>
        <w:pBdr>
          <w:top w:val="nil"/>
          <w:left w:val="nil"/>
          <w:bottom w:val="nil"/>
          <w:right w:val="nil"/>
          <w:between w:val="nil"/>
        </w:pBdr>
        <w:tabs>
          <w:tab w:val="left" w:pos="200"/>
          <w:tab w:val="left" w:pos="567"/>
        </w:tabs>
        <w:spacing w:before="240" w:after="240" w:line="360" w:lineRule="auto"/>
        <w:ind w:right="285"/>
        <w:jc w:val="both"/>
        <w:rPr>
          <w:rFonts w:ascii="Arial" w:eastAsia="Arial" w:hAnsi="Arial" w:cs="Arial"/>
          <w:color w:val="000000"/>
        </w:rPr>
      </w:pPr>
      <w:r>
        <w:rPr>
          <w:rFonts w:ascii="Arial" w:eastAsia="Arial" w:hAnsi="Arial" w:cs="Arial"/>
          <w:color w:val="000000"/>
        </w:rPr>
        <w:t xml:space="preserve">An allegation or information about misconduct of a worker may come in any form: phone call, email, mail, or in conversation.  </w:t>
      </w:r>
    </w:p>
    <w:p w14:paraId="32462224" w14:textId="77777777" w:rsidR="00CC3032" w:rsidRDefault="00CC3032" w:rsidP="00CC3032">
      <w:pPr>
        <w:widowControl w:val="0"/>
        <w:numPr>
          <w:ilvl w:val="0"/>
          <w:numId w:val="21"/>
        </w:numPr>
        <w:pBdr>
          <w:top w:val="nil"/>
          <w:left w:val="nil"/>
          <w:bottom w:val="nil"/>
          <w:right w:val="nil"/>
          <w:between w:val="nil"/>
        </w:pBdr>
        <w:tabs>
          <w:tab w:val="left" w:pos="200"/>
          <w:tab w:val="left" w:pos="567"/>
        </w:tabs>
        <w:spacing w:before="240" w:after="240" w:line="360" w:lineRule="auto"/>
        <w:ind w:right="285"/>
        <w:jc w:val="both"/>
        <w:rPr>
          <w:rFonts w:ascii="Arial" w:eastAsia="Arial" w:hAnsi="Arial" w:cs="Arial"/>
          <w:color w:val="000000"/>
        </w:rPr>
      </w:pPr>
      <w:r>
        <w:rPr>
          <w:rFonts w:ascii="Arial" w:eastAsia="Arial" w:hAnsi="Arial" w:cs="Arial"/>
          <w:color w:val="000000"/>
        </w:rPr>
        <w:t>If the person who receives the allegation is not the relevant office holder in the church, it will be forwarded to the relevant office holder as soon as practical.  An allegation may also be made in relation to ‘information’ about alleged misconduct. A senior church leader (e.g. pastor, elder, church leadership team) can make an allegation on behalf of a third party where a finding is deemed necessary for risk management purposes.</w:t>
      </w:r>
    </w:p>
    <w:p w14:paraId="47988C67" w14:textId="77777777" w:rsidR="00CC3032" w:rsidRDefault="00CC3032" w:rsidP="00CC3032">
      <w:pPr>
        <w:widowControl w:val="0"/>
        <w:numPr>
          <w:ilvl w:val="0"/>
          <w:numId w:val="21"/>
        </w:numPr>
        <w:pBdr>
          <w:top w:val="nil"/>
          <w:left w:val="nil"/>
          <w:bottom w:val="nil"/>
          <w:right w:val="nil"/>
          <w:between w:val="nil"/>
        </w:pBdr>
        <w:tabs>
          <w:tab w:val="left" w:pos="200"/>
          <w:tab w:val="left" w:pos="142"/>
          <w:tab w:val="left" w:pos="567"/>
        </w:tabs>
        <w:spacing w:before="240" w:after="240" w:line="360" w:lineRule="auto"/>
        <w:ind w:right="285"/>
        <w:jc w:val="both"/>
        <w:rPr>
          <w:rFonts w:ascii="Arial" w:eastAsia="Arial" w:hAnsi="Arial" w:cs="Arial"/>
          <w:color w:val="000000"/>
        </w:rPr>
      </w:pPr>
      <w:r>
        <w:rPr>
          <w:rFonts w:ascii="Arial" w:eastAsia="Arial" w:hAnsi="Arial" w:cs="Arial"/>
          <w:color w:val="000000"/>
        </w:rPr>
        <w:t>In relation to sexual harassment and/or abuse the complaint may be historical (whenever or wherever occurring) or current (wherever occurring), so long as the person subject of the allegation is still attending the church (denominationally) undertaking the process.</w:t>
      </w:r>
    </w:p>
    <w:p w14:paraId="424F36A4" w14:textId="77777777" w:rsidR="00CC3032" w:rsidRDefault="00CC3032" w:rsidP="00CC3032">
      <w:pPr>
        <w:widowControl w:val="0"/>
        <w:numPr>
          <w:ilvl w:val="0"/>
          <w:numId w:val="21"/>
        </w:numPr>
        <w:pBdr>
          <w:top w:val="nil"/>
          <w:left w:val="nil"/>
          <w:bottom w:val="nil"/>
          <w:right w:val="nil"/>
          <w:between w:val="nil"/>
        </w:pBdr>
        <w:tabs>
          <w:tab w:val="left" w:pos="200"/>
          <w:tab w:val="left" w:pos="142"/>
          <w:tab w:val="left" w:pos="567"/>
        </w:tabs>
        <w:spacing w:before="240" w:after="240" w:line="360" w:lineRule="auto"/>
        <w:ind w:right="285"/>
        <w:jc w:val="both"/>
        <w:rPr>
          <w:rFonts w:ascii="Arial" w:eastAsia="Arial" w:hAnsi="Arial" w:cs="Arial"/>
          <w:color w:val="000000"/>
        </w:rPr>
      </w:pPr>
      <w:r>
        <w:rPr>
          <w:rFonts w:ascii="Arial" w:eastAsia="Arial" w:hAnsi="Arial" w:cs="Arial"/>
          <w:color w:val="000000"/>
        </w:rPr>
        <w:t xml:space="preserve"> In cases relating to child abuse or neglect the matter will be managed in a child-focussed manner (see National Office for Child Safety’s Complaints Handling Guide </w:t>
      </w:r>
      <w:hyperlink r:id="rId8">
        <w:r>
          <w:rPr>
            <w:rFonts w:ascii="Arial" w:eastAsia="Arial" w:hAnsi="Arial" w:cs="Arial"/>
            <w:b/>
            <w:color w:val="000000"/>
            <w:u w:val="single"/>
          </w:rPr>
          <w:t>https://pmc.gov.au/resource-centre/domestic-policy/complaint-handling-guide-upholding-rights-children-and-young-people</w:t>
        </w:r>
      </w:hyperlink>
      <w:r>
        <w:rPr>
          <w:rFonts w:ascii="Arial" w:eastAsia="Arial" w:hAnsi="Arial" w:cs="Arial"/>
          <w:color w:val="000000"/>
        </w:rPr>
        <w:t>)</w:t>
      </w:r>
    </w:p>
    <w:p w14:paraId="2F85527D" w14:textId="77777777" w:rsidR="00CC3032" w:rsidRDefault="00CC3032">
      <w:pPr>
        <w:spacing w:after="160" w:line="259" w:lineRule="auto"/>
        <w:rPr>
          <w:rFonts w:ascii="Arial" w:eastAsia="Arial" w:hAnsi="Arial" w:cs="Arial"/>
          <w:b/>
          <w:color w:val="000000"/>
        </w:rPr>
      </w:pPr>
      <w:r>
        <w:rPr>
          <w:rFonts w:ascii="Arial" w:eastAsia="Arial" w:hAnsi="Arial" w:cs="Arial"/>
          <w:b/>
          <w:color w:val="000000"/>
        </w:rPr>
        <w:br w:type="page"/>
      </w:r>
    </w:p>
    <w:p w14:paraId="73F008A4" w14:textId="1D8FC500" w:rsidR="00CC3032" w:rsidRDefault="00CC3032" w:rsidP="00CC3032">
      <w:pPr>
        <w:widowControl w:val="0"/>
        <w:pBdr>
          <w:top w:val="nil"/>
          <w:left w:val="nil"/>
          <w:bottom w:val="nil"/>
          <w:right w:val="nil"/>
          <w:between w:val="nil"/>
        </w:pBdr>
        <w:tabs>
          <w:tab w:val="left" w:pos="200"/>
          <w:tab w:val="left" w:pos="142"/>
          <w:tab w:val="left" w:pos="567"/>
        </w:tabs>
        <w:spacing w:before="240" w:after="240" w:line="360" w:lineRule="auto"/>
        <w:ind w:right="285"/>
        <w:jc w:val="both"/>
        <w:rPr>
          <w:rFonts w:ascii="Arial" w:eastAsia="Arial" w:hAnsi="Arial" w:cs="Arial"/>
          <w:color w:val="000000"/>
        </w:rPr>
      </w:pPr>
      <w:r>
        <w:rPr>
          <w:rFonts w:ascii="Arial" w:eastAsia="Arial" w:hAnsi="Arial" w:cs="Arial"/>
          <w:b/>
          <w:color w:val="000000"/>
        </w:rPr>
        <w:lastRenderedPageBreak/>
        <w:t>2</w:t>
      </w:r>
      <w:r>
        <w:rPr>
          <w:rFonts w:ascii="Arial" w:eastAsia="Arial" w:hAnsi="Arial" w:cs="Arial"/>
          <w:color w:val="000000"/>
        </w:rPr>
        <w:t>.</w:t>
      </w:r>
      <w:r>
        <w:rPr>
          <w:rFonts w:ascii="Arial" w:eastAsia="Arial" w:hAnsi="Arial" w:cs="Arial"/>
          <w:b/>
          <w:color w:val="000000"/>
        </w:rPr>
        <w:tab/>
        <w:t>Triage of the allegation (classification &amp; clarification)</w:t>
      </w:r>
    </w:p>
    <w:p w14:paraId="5A887E54" w14:textId="77777777" w:rsidR="00CC3032" w:rsidRDefault="00CC3032" w:rsidP="00CC3032">
      <w:pPr>
        <w:widowControl w:val="0"/>
        <w:pBdr>
          <w:top w:val="nil"/>
          <w:left w:val="nil"/>
          <w:bottom w:val="nil"/>
          <w:right w:val="nil"/>
          <w:between w:val="nil"/>
        </w:pBdr>
        <w:tabs>
          <w:tab w:val="left" w:pos="200"/>
          <w:tab w:val="left" w:pos="567"/>
        </w:tabs>
        <w:spacing w:before="240" w:after="240" w:line="360" w:lineRule="auto"/>
        <w:ind w:left="709" w:right="285"/>
        <w:jc w:val="both"/>
        <w:rPr>
          <w:rFonts w:ascii="Arial" w:eastAsia="Arial" w:hAnsi="Arial" w:cs="Arial"/>
          <w:color w:val="000000"/>
        </w:rPr>
      </w:pPr>
      <w:r>
        <w:rPr>
          <w:rFonts w:ascii="Arial" w:eastAsia="Arial" w:hAnsi="Arial" w:cs="Arial"/>
          <w:color w:val="000000"/>
        </w:rPr>
        <w:t>The relevant local church or denominational officer holder, such as Professional Standards/Safe Ministry Officer, or equivalent, should at this time triage the matter satisfactorily; including providing details of the process to the person bringing forward the allegation (provide documentation), discuss legal ramifications, and ensure the matter is an allegation of ‘serious misconduct’ against a person currently under the jurisdiction of the local church or denomination.</w:t>
      </w:r>
    </w:p>
    <w:p w14:paraId="41633502" w14:textId="77777777" w:rsidR="00CC3032" w:rsidRDefault="00CC3032" w:rsidP="00CC3032">
      <w:pPr>
        <w:widowControl w:val="0"/>
        <w:pBdr>
          <w:top w:val="nil"/>
          <w:left w:val="nil"/>
          <w:bottom w:val="nil"/>
          <w:right w:val="nil"/>
          <w:between w:val="nil"/>
        </w:pBdr>
        <w:tabs>
          <w:tab w:val="left" w:pos="200"/>
          <w:tab w:val="left" w:pos="567"/>
        </w:tabs>
        <w:spacing w:before="240" w:after="240" w:line="360" w:lineRule="auto"/>
        <w:ind w:left="567" w:right="285" w:hanging="567"/>
        <w:jc w:val="both"/>
        <w:rPr>
          <w:rFonts w:ascii="Arial" w:eastAsia="Arial" w:hAnsi="Arial" w:cs="Arial"/>
          <w:b/>
          <w:color w:val="000000"/>
        </w:rPr>
      </w:pPr>
      <w:r>
        <w:rPr>
          <w:rFonts w:ascii="Arial" w:eastAsia="Arial" w:hAnsi="Arial" w:cs="Arial"/>
          <w:b/>
          <w:color w:val="000000"/>
          <w:sz w:val="22"/>
          <w:szCs w:val="22"/>
        </w:rPr>
        <w:t>3.</w:t>
      </w:r>
      <w:r>
        <w:rPr>
          <w:rFonts w:ascii="Arial" w:eastAsia="Arial" w:hAnsi="Arial" w:cs="Arial"/>
          <w:b/>
          <w:color w:val="000000"/>
          <w:sz w:val="22"/>
          <w:szCs w:val="22"/>
        </w:rPr>
        <w:tab/>
      </w:r>
      <w:r>
        <w:rPr>
          <w:rFonts w:ascii="Arial" w:eastAsia="Arial" w:hAnsi="Arial" w:cs="Arial"/>
          <w:b/>
          <w:color w:val="000000"/>
          <w:sz w:val="22"/>
          <w:szCs w:val="22"/>
        </w:rPr>
        <w:tab/>
      </w:r>
      <w:r>
        <w:rPr>
          <w:rFonts w:ascii="Arial" w:eastAsia="Arial" w:hAnsi="Arial" w:cs="Arial"/>
          <w:b/>
          <w:color w:val="000000"/>
        </w:rPr>
        <w:t>Government statutory reporting and risk management measures</w:t>
      </w:r>
    </w:p>
    <w:p w14:paraId="15F55510" w14:textId="77777777" w:rsidR="00CC3032" w:rsidRDefault="00CC3032" w:rsidP="00CC3032">
      <w:pPr>
        <w:widowControl w:val="0"/>
        <w:numPr>
          <w:ilvl w:val="0"/>
          <w:numId w:val="23"/>
        </w:numPr>
        <w:pBdr>
          <w:top w:val="nil"/>
          <w:left w:val="nil"/>
          <w:bottom w:val="nil"/>
          <w:right w:val="nil"/>
          <w:between w:val="nil"/>
        </w:pBdr>
        <w:tabs>
          <w:tab w:val="left" w:pos="200"/>
          <w:tab w:val="left" w:pos="567"/>
        </w:tabs>
        <w:spacing w:before="240" w:after="240" w:line="360" w:lineRule="auto"/>
        <w:ind w:right="285" w:hanging="578"/>
        <w:jc w:val="both"/>
        <w:rPr>
          <w:rFonts w:ascii="Arial" w:eastAsia="Arial" w:hAnsi="Arial" w:cs="Arial"/>
          <w:color w:val="000000"/>
        </w:rPr>
      </w:pPr>
      <w:r>
        <w:rPr>
          <w:rFonts w:ascii="Arial" w:eastAsia="Arial" w:hAnsi="Arial" w:cs="Arial"/>
          <w:color w:val="000000"/>
        </w:rPr>
        <w:t xml:space="preserve">Where the allegation is clearly of a criminal nature the relevant Office holder will report to relevant State and/or Federal Government Chid Protection agencies and/or police. NB: Criminal matters are defined in the criminal codes and include but are not limited to; child abuse, acts of indecency, sexual assault, fraud, drug dealing.  </w:t>
      </w:r>
    </w:p>
    <w:p w14:paraId="7FCCF74A" w14:textId="77777777" w:rsidR="00CC3032" w:rsidRDefault="00CC3032" w:rsidP="00CC3032">
      <w:pPr>
        <w:widowControl w:val="0"/>
        <w:numPr>
          <w:ilvl w:val="0"/>
          <w:numId w:val="23"/>
        </w:numPr>
        <w:pBdr>
          <w:top w:val="nil"/>
          <w:left w:val="nil"/>
          <w:bottom w:val="nil"/>
          <w:right w:val="nil"/>
          <w:between w:val="nil"/>
        </w:pBdr>
        <w:tabs>
          <w:tab w:val="left" w:pos="200"/>
          <w:tab w:val="left" w:pos="567"/>
        </w:tabs>
        <w:spacing w:before="240" w:after="240" w:line="360" w:lineRule="auto"/>
        <w:ind w:right="285" w:hanging="578"/>
        <w:jc w:val="both"/>
        <w:rPr>
          <w:rFonts w:ascii="Arial" w:eastAsia="Arial" w:hAnsi="Arial" w:cs="Arial"/>
          <w:color w:val="000000"/>
        </w:rPr>
      </w:pPr>
      <w:r>
        <w:rPr>
          <w:rFonts w:ascii="Arial" w:eastAsia="Arial" w:hAnsi="Arial" w:cs="Arial"/>
          <w:color w:val="000000"/>
        </w:rPr>
        <w:t xml:space="preserve">Reportable Conduct Scheme reporting to occur where applicable; </w:t>
      </w:r>
      <w:r>
        <w:rPr>
          <w:rFonts w:ascii="Arial" w:eastAsia="Arial" w:hAnsi="Arial" w:cs="Arial"/>
          <w:color w:val="000000"/>
        </w:rPr>
        <w:br/>
        <w:t xml:space="preserve">i.e. 3 -Day notification in Victoria, 7-day notification in NSW, </w:t>
      </w:r>
      <w:r>
        <w:rPr>
          <w:rFonts w:ascii="Arial" w:eastAsia="Arial" w:hAnsi="Arial" w:cs="Arial"/>
          <w:color w:val="000000"/>
        </w:rPr>
        <w:br/>
        <w:t>and 30-day notification in the ACT. Note: Reportable Conduct scheme’s also have other reporting requirements, see the relevant Government website for details.</w:t>
      </w:r>
    </w:p>
    <w:p w14:paraId="7537BFBA" w14:textId="77777777" w:rsidR="00CC3032" w:rsidRDefault="00CC3032" w:rsidP="00CC3032">
      <w:pPr>
        <w:widowControl w:val="0"/>
        <w:numPr>
          <w:ilvl w:val="0"/>
          <w:numId w:val="23"/>
        </w:numPr>
        <w:pBdr>
          <w:top w:val="nil"/>
          <w:left w:val="nil"/>
          <w:bottom w:val="nil"/>
          <w:right w:val="nil"/>
          <w:between w:val="nil"/>
        </w:pBdr>
        <w:tabs>
          <w:tab w:val="left" w:pos="200"/>
          <w:tab w:val="left" w:pos="567"/>
        </w:tabs>
        <w:spacing w:before="240" w:after="240" w:line="360" w:lineRule="auto"/>
        <w:ind w:right="285" w:hanging="578"/>
        <w:jc w:val="both"/>
        <w:rPr>
          <w:rFonts w:ascii="Arial" w:eastAsia="Arial" w:hAnsi="Arial" w:cs="Arial"/>
          <w:color w:val="000000"/>
        </w:rPr>
      </w:pPr>
      <w:r>
        <w:rPr>
          <w:rFonts w:ascii="Arial" w:eastAsia="Arial" w:hAnsi="Arial" w:cs="Arial"/>
          <w:color w:val="000000"/>
        </w:rPr>
        <w:t>At this stage a risk assessment must be undertaken by the relevant office holder/s, as to whether it is appropriate during the police investigation to ask the Person Subject to Allegation/s (PSOA), to step aside from their active duties and/or church attendance.</w:t>
      </w:r>
    </w:p>
    <w:p w14:paraId="76C3277F" w14:textId="77777777" w:rsidR="00CC3032" w:rsidRDefault="00CC3032" w:rsidP="00CC3032">
      <w:pPr>
        <w:widowControl w:val="0"/>
        <w:numPr>
          <w:ilvl w:val="0"/>
          <w:numId w:val="23"/>
        </w:numPr>
        <w:pBdr>
          <w:top w:val="nil"/>
          <w:left w:val="nil"/>
          <w:bottom w:val="nil"/>
          <w:right w:val="nil"/>
          <w:between w:val="nil"/>
        </w:pBdr>
        <w:tabs>
          <w:tab w:val="left" w:pos="200"/>
        </w:tabs>
        <w:spacing w:before="240" w:after="240" w:line="360" w:lineRule="auto"/>
        <w:ind w:right="285" w:hanging="578"/>
        <w:jc w:val="both"/>
        <w:rPr>
          <w:rFonts w:ascii="Arial" w:eastAsia="Arial" w:hAnsi="Arial" w:cs="Arial"/>
          <w:color w:val="000000"/>
        </w:rPr>
      </w:pPr>
      <w:r>
        <w:rPr>
          <w:rFonts w:ascii="Arial" w:eastAsia="Arial" w:hAnsi="Arial" w:cs="Arial"/>
          <w:color w:val="000000"/>
        </w:rPr>
        <w:t>Insurance reporting. Office holders will consider as to whether this is a matter over which the insurer should be notified or whether at this stage more formalisation is required before reporting.</w:t>
      </w:r>
    </w:p>
    <w:p w14:paraId="0F7ABC38" w14:textId="77777777" w:rsidR="00CC3032" w:rsidRDefault="00CC3032">
      <w:pPr>
        <w:spacing w:after="160" w:line="259" w:lineRule="auto"/>
        <w:rPr>
          <w:rFonts w:ascii="Arial" w:eastAsia="Arial" w:hAnsi="Arial" w:cs="Arial"/>
          <w:b/>
        </w:rPr>
      </w:pPr>
      <w:r>
        <w:rPr>
          <w:rFonts w:ascii="Arial" w:eastAsia="Arial" w:hAnsi="Arial" w:cs="Arial"/>
          <w:b/>
        </w:rPr>
        <w:br w:type="page"/>
      </w:r>
    </w:p>
    <w:p w14:paraId="37CF26C0" w14:textId="28BA55CF" w:rsidR="00CC3032" w:rsidRDefault="00CC3032" w:rsidP="00CC3032">
      <w:pPr>
        <w:spacing w:after="160" w:line="259" w:lineRule="auto"/>
        <w:rPr>
          <w:rFonts w:ascii="Arial" w:eastAsia="Arial" w:hAnsi="Arial" w:cs="Arial"/>
          <w:b/>
          <w:smallCaps/>
        </w:rPr>
      </w:pPr>
      <w:r>
        <w:rPr>
          <w:rFonts w:ascii="Arial" w:eastAsia="Arial" w:hAnsi="Arial" w:cs="Arial"/>
          <w:b/>
        </w:rPr>
        <w:lastRenderedPageBreak/>
        <w:t>4.</w:t>
      </w:r>
      <w:r>
        <w:rPr>
          <w:rFonts w:ascii="Arial" w:eastAsia="Arial" w:hAnsi="Arial" w:cs="Arial"/>
          <w:b/>
        </w:rPr>
        <w:tab/>
        <w:t>Procedure decisions</w:t>
      </w:r>
    </w:p>
    <w:p w14:paraId="210E7815" w14:textId="77777777" w:rsidR="00CC3032" w:rsidRDefault="00CC3032" w:rsidP="00CC3032">
      <w:pPr>
        <w:widowControl w:val="0"/>
        <w:numPr>
          <w:ilvl w:val="0"/>
          <w:numId w:val="25"/>
        </w:numPr>
        <w:pBdr>
          <w:top w:val="nil"/>
          <w:left w:val="nil"/>
          <w:bottom w:val="nil"/>
          <w:right w:val="nil"/>
          <w:between w:val="nil"/>
        </w:pBdr>
        <w:tabs>
          <w:tab w:val="left" w:pos="200"/>
        </w:tabs>
        <w:spacing w:before="240" w:after="240" w:line="360" w:lineRule="auto"/>
        <w:ind w:right="285"/>
        <w:jc w:val="both"/>
        <w:rPr>
          <w:rFonts w:ascii="Arial" w:eastAsia="Arial" w:hAnsi="Arial" w:cs="Arial"/>
          <w:color w:val="000000"/>
        </w:rPr>
      </w:pPr>
      <w:r>
        <w:rPr>
          <w:rFonts w:ascii="Arial" w:eastAsia="Arial" w:hAnsi="Arial" w:cs="Arial"/>
          <w:color w:val="000000"/>
        </w:rPr>
        <w:t>Appointment of Case Response Group (CRG) / Case Manager</w:t>
      </w:r>
    </w:p>
    <w:p w14:paraId="763BFC1F" w14:textId="38673FE3" w:rsidR="00CC3032" w:rsidRPr="00CC3032" w:rsidRDefault="00CC3032" w:rsidP="00CC3032">
      <w:pPr>
        <w:widowControl w:val="0"/>
        <w:numPr>
          <w:ilvl w:val="0"/>
          <w:numId w:val="24"/>
        </w:numPr>
        <w:pBdr>
          <w:top w:val="nil"/>
          <w:left w:val="nil"/>
          <w:bottom w:val="nil"/>
          <w:right w:val="nil"/>
          <w:between w:val="nil"/>
        </w:pBdr>
        <w:tabs>
          <w:tab w:val="left" w:pos="200"/>
          <w:tab w:val="left" w:pos="567"/>
        </w:tabs>
        <w:spacing w:before="240" w:after="240" w:line="360" w:lineRule="auto"/>
        <w:ind w:right="285"/>
        <w:jc w:val="both"/>
        <w:rPr>
          <w:rFonts w:ascii="Arial" w:eastAsia="Arial" w:hAnsi="Arial" w:cs="Arial"/>
          <w:color w:val="000000"/>
        </w:rPr>
      </w:pPr>
      <w:r>
        <w:rPr>
          <w:rFonts w:ascii="Arial" w:eastAsia="Arial" w:hAnsi="Arial" w:cs="Arial"/>
          <w:color w:val="000000"/>
        </w:rPr>
        <w:t>If the matter, after triage, is not deemed by the head of Relevant Entity and relevant church office holders to be a police and/or government Relevant Entity matter (child protection), or when the police/criminal justice process has concluded, the head of Relevant Entity with relevant church office holders will appoint a Case Response Group (CRG) including a Case manager. This Case Response Group (CRG) of 1-3 persons are to make binding decisions in relation to the procedure from this point forwards.  The CRG will look different depending upon the nature of the allegation and the level of leadership being accused.  The CRG may in some cases be the Case Manager, e.g. Professional Standards Director or where it is deemed necessary for natural justice an external case manager.</w:t>
      </w:r>
    </w:p>
    <w:p w14:paraId="764433EF" w14:textId="77777777" w:rsidR="00CC3032" w:rsidRDefault="00CC3032" w:rsidP="00CC3032">
      <w:pPr>
        <w:widowControl w:val="0"/>
        <w:numPr>
          <w:ilvl w:val="0"/>
          <w:numId w:val="24"/>
        </w:numPr>
        <w:pBdr>
          <w:top w:val="nil"/>
          <w:left w:val="nil"/>
          <w:bottom w:val="nil"/>
          <w:right w:val="nil"/>
          <w:between w:val="nil"/>
        </w:pBdr>
        <w:tabs>
          <w:tab w:val="left" w:pos="200"/>
          <w:tab w:val="left" w:pos="567"/>
        </w:tabs>
        <w:spacing w:before="240" w:after="240" w:line="360" w:lineRule="auto"/>
        <w:ind w:right="285"/>
        <w:jc w:val="both"/>
        <w:rPr>
          <w:rFonts w:ascii="Arial" w:eastAsia="Arial" w:hAnsi="Arial" w:cs="Arial"/>
          <w:color w:val="000000"/>
        </w:rPr>
      </w:pPr>
      <w:r>
        <w:rPr>
          <w:rFonts w:ascii="Arial" w:eastAsia="Arial" w:hAnsi="Arial" w:cs="Arial"/>
          <w:color w:val="000000"/>
        </w:rPr>
        <w:t>The CRG will report to the Head of the Relevant Entity (e.g. Chair of church board for determination).</w:t>
      </w:r>
    </w:p>
    <w:p w14:paraId="31894FA3" w14:textId="77777777" w:rsidR="00CC3032" w:rsidRDefault="00CC3032" w:rsidP="00CC3032">
      <w:pPr>
        <w:widowControl w:val="0"/>
        <w:numPr>
          <w:ilvl w:val="0"/>
          <w:numId w:val="25"/>
        </w:numPr>
        <w:pBdr>
          <w:top w:val="nil"/>
          <w:left w:val="nil"/>
          <w:bottom w:val="nil"/>
          <w:right w:val="nil"/>
          <w:between w:val="nil"/>
        </w:pBdr>
        <w:tabs>
          <w:tab w:val="left" w:pos="200"/>
          <w:tab w:val="left" w:pos="142"/>
        </w:tabs>
        <w:spacing w:before="240" w:after="240" w:line="360" w:lineRule="auto"/>
        <w:ind w:right="285"/>
        <w:jc w:val="both"/>
        <w:rPr>
          <w:rFonts w:ascii="Arial" w:eastAsia="Arial" w:hAnsi="Arial" w:cs="Arial"/>
          <w:color w:val="000000"/>
        </w:rPr>
      </w:pPr>
      <w:r>
        <w:rPr>
          <w:rFonts w:ascii="Arial" w:eastAsia="Arial" w:hAnsi="Arial" w:cs="Arial"/>
          <w:color w:val="000000"/>
        </w:rPr>
        <w:t xml:space="preserve">The CRG will appoint from their group a Case Manager. </w:t>
      </w:r>
    </w:p>
    <w:p w14:paraId="7BC0E4C5" w14:textId="77777777" w:rsidR="00CC3032" w:rsidRDefault="00CC3032" w:rsidP="00CC3032">
      <w:pPr>
        <w:widowControl w:val="0"/>
        <w:numPr>
          <w:ilvl w:val="0"/>
          <w:numId w:val="25"/>
        </w:numPr>
        <w:pBdr>
          <w:top w:val="nil"/>
          <w:left w:val="nil"/>
          <w:bottom w:val="nil"/>
          <w:right w:val="nil"/>
          <w:between w:val="nil"/>
        </w:pBdr>
        <w:tabs>
          <w:tab w:val="left" w:pos="200"/>
        </w:tabs>
        <w:spacing w:before="240" w:after="240" w:line="360" w:lineRule="auto"/>
        <w:ind w:right="285"/>
        <w:jc w:val="both"/>
        <w:rPr>
          <w:rFonts w:ascii="Arial" w:eastAsia="Arial" w:hAnsi="Arial" w:cs="Arial"/>
          <w:color w:val="000000"/>
        </w:rPr>
      </w:pPr>
      <w:r>
        <w:rPr>
          <w:rFonts w:ascii="Arial" w:eastAsia="Arial" w:hAnsi="Arial" w:cs="Arial"/>
          <w:color w:val="000000"/>
        </w:rPr>
        <w:t>The CRG will offer pastoral support persons to all persons bringing allegations. It will be suggested that the pastoral support person is not a relative.</w:t>
      </w:r>
    </w:p>
    <w:p w14:paraId="3215617D" w14:textId="77777777" w:rsidR="00CC3032" w:rsidRDefault="00CC3032" w:rsidP="00CC3032">
      <w:pPr>
        <w:widowControl w:val="0"/>
        <w:numPr>
          <w:ilvl w:val="0"/>
          <w:numId w:val="25"/>
        </w:numPr>
        <w:pBdr>
          <w:top w:val="nil"/>
          <w:left w:val="nil"/>
          <w:bottom w:val="nil"/>
          <w:right w:val="nil"/>
          <w:between w:val="nil"/>
        </w:pBdr>
        <w:tabs>
          <w:tab w:val="left" w:pos="200"/>
        </w:tabs>
        <w:spacing w:before="240" w:after="240" w:line="360" w:lineRule="auto"/>
        <w:ind w:right="285"/>
        <w:jc w:val="both"/>
        <w:rPr>
          <w:rFonts w:ascii="Arial" w:eastAsia="Arial" w:hAnsi="Arial" w:cs="Arial"/>
          <w:color w:val="000000"/>
        </w:rPr>
      </w:pPr>
      <w:r>
        <w:rPr>
          <w:rFonts w:ascii="Arial" w:eastAsia="Arial" w:hAnsi="Arial" w:cs="Arial"/>
          <w:color w:val="000000"/>
        </w:rPr>
        <w:t xml:space="preserve">The CRG will at this time discuss with the Head of Relevant Entity implementation of or amendments to any risk management actions which need to be or may be already in place, dependent upon the nature of the allegations. These risk management actions are to consider the safety of all parties. </w:t>
      </w:r>
    </w:p>
    <w:p w14:paraId="7949BF10" w14:textId="77777777" w:rsidR="00CC3032" w:rsidRDefault="00CC3032" w:rsidP="00CC3032">
      <w:pPr>
        <w:widowControl w:val="0"/>
        <w:numPr>
          <w:ilvl w:val="0"/>
          <w:numId w:val="25"/>
        </w:numPr>
        <w:pBdr>
          <w:top w:val="nil"/>
          <w:left w:val="nil"/>
          <w:bottom w:val="nil"/>
          <w:right w:val="nil"/>
          <w:between w:val="nil"/>
        </w:pBdr>
        <w:tabs>
          <w:tab w:val="left" w:pos="200"/>
        </w:tabs>
        <w:spacing w:before="240" w:after="240" w:line="360" w:lineRule="auto"/>
        <w:ind w:right="285"/>
        <w:jc w:val="both"/>
        <w:rPr>
          <w:rFonts w:ascii="Arial" w:eastAsia="Arial" w:hAnsi="Arial" w:cs="Arial"/>
          <w:color w:val="000000"/>
        </w:rPr>
      </w:pPr>
      <w:r>
        <w:rPr>
          <w:rFonts w:ascii="Arial" w:eastAsia="Arial" w:hAnsi="Arial" w:cs="Arial"/>
          <w:color w:val="000000"/>
        </w:rPr>
        <w:t xml:space="preserve">The CRG will consider the formalised allegation material and make a decision: </w:t>
      </w:r>
    </w:p>
    <w:p w14:paraId="1D33D408" w14:textId="77777777" w:rsidR="00CC3032" w:rsidRDefault="00CC3032" w:rsidP="00CC3032">
      <w:pPr>
        <w:widowControl w:val="0"/>
        <w:numPr>
          <w:ilvl w:val="0"/>
          <w:numId w:val="19"/>
        </w:numPr>
        <w:pBdr>
          <w:top w:val="nil"/>
          <w:left w:val="nil"/>
          <w:bottom w:val="nil"/>
          <w:right w:val="nil"/>
          <w:between w:val="nil"/>
        </w:pBdr>
        <w:tabs>
          <w:tab w:val="left" w:pos="200"/>
        </w:tabs>
        <w:spacing w:before="240" w:after="240" w:line="360" w:lineRule="auto"/>
        <w:ind w:right="285"/>
        <w:jc w:val="both"/>
        <w:rPr>
          <w:rFonts w:ascii="Arial" w:eastAsia="Arial" w:hAnsi="Arial" w:cs="Arial"/>
          <w:color w:val="000000"/>
        </w:rPr>
      </w:pPr>
      <w:r>
        <w:rPr>
          <w:rFonts w:ascii="Arial" w:eastAsia="Arial" w:hAnsi="Arial" w:cs="Arial"/>
          <w:color w:val="000000"/>
        </w:rPr>
        <w:t xml:space="preserve">If the CRG in its discretion considers that the complaint is frivolous, vexatious or that further action is not necessary, the appropriate office </w:t>
      </w:r>
      <w:r>
        <w:rPr>
          <w:rFonts w:ascii="Arial" w:eastAsia="Arial" w:hAnsi="Arial" w:cs="Arial"/>
          <w:color w:val="000000"/>
        </w:rPr>
        <w:lastRenderedPageBreak/>
        <w:t xml:space="preserve">holders may decide to dismiss the </w:t>
      </w:r>
      <w:proofErr w:type="gramStart"/>
      <w:r>
        <w:rPr>
          <w:rFonts w:ascii="Arial" w:eastAsia="Arial" w:hAnsi="Arial" w:cs="Arial"/>
          <w:color w:val="000000"/>
        </w:rPr>
        <w:t>complaint, and</w:t>
      </w:r>
      <w:proofErr w:type="gramEnd"/>
      <w:r>
        <w:rPr>
          <w:rFonts w:ascii="Arial" w:eastAsia="Arial" w:hAnsi="Arial" w:cs="Arial"/>
          <w:color w:val="000000"/>
        </w:rPr>
        <w:t xml:space="preserve"> will inform the Head of Relevant Entity of this decision who will in turn inform all parties of this decision. </w:t>
      </w:r>
    </w:p>
    <w:p w14:paraId="6859FD43" w14:textId="77777777" w:rsidR="00CC3032" w:rsidRDefault="00CC3032" w:rsidP="00CC3032">
      <w:pPr>
        <w:widowControl w:val="0"/>
        <w:numPr>
          <w:ilvl w:val="0"/>
          <w:numId w:val="19"/>
        </w:numPr>
        <w:pBdr>
          <w:top w:val="nil"/>
          <w:left w:val="nil"/>
          <w:bottom w:val="nil"/>
          <w:right w:val="nil"/>
          <w:between w:val="nil"/>
        </w:pBdr>
        <w:tabs>
          <w:tab w:val="left" w:pos="200"/>
        </w:tabs>
        <w:spacing w:before="240" w:after="240" w:line="360" w:lineRule="auto"/>
        <w:ind w:right="285"/>
        <w:jc w:val="both"/>
        <w:rPr>
          <w:rFonts w:ascii="Arial" w:eastAsia="Arial" w:hAnsi="Arial" w:cs="Arial"/>
          <w:color w:val="000000"/>
        </w:rPr>
      </w:pPr>
      <w:r>
        <w:rPr>
          <w:rFonts w:ascii="Arial" w:eastAsia="Arial" w:hAnsi="Arial" w:cs="Arial"/>
          <w:color w:val="000000"/>
        </w:rPr>
        <w:t xml:space="preserve">If the matter is deemed by the CRG to not be a serious matter but rather a misunderstanding/conflict or involves minor misconduct an alternative procedure may be recommended.  </w:t>
      </w:r>
    </w:p>
    <w:p w14:paraId="5F55E2AF" w14:textId="77777777" w:rsidR="00CC3032" w:rsidRDefault="00CC3032" w:rsidP="00CC3032">
      <w:pPr>
        <w:widowControl w:val="0"/>
        <w:numPr>
          <w:ilvl w:val="0"/>
          <w:numId w:val="19"/>
        </w:numPr>
        <w:pBdr>
          <w:top w:val="nil"/>
          <w:left w:val="nil"/>
          <w:bottom w:val="nil"/>
          <w:right w:val="nil"/>
          <w:between w:val="nil"/>
        </w:pBdr>
        <w:tabs>
          <w:tab w:val="left" w:pos="200"/>
        </w:tabs>
        <w:spacing w:before="240" w:after="240" w:line="360" w:lineRule="auto"/>
        <w:ind w:right="285"/>
        <w:jc w:val="both"/>
        <w:rPr>
          <w:rFonts w:ascii="Arial" w:eastAsia="Arial" w:hAnsi="Arial" w:cs="Arial"/>
          <w:color w:val="000000"/>
        </w:rPr>
      </w:pPr>
      <w:r>
        <w:rPr>
          <w:rFonts w:ascii="Arial" w:eastAsia="Arial" w:hAnsi="Arial" w:cs="Arial"/>
          <w:color w:val="000000"/>
        </w:rPr>
        <w:t xml:space="preserve">If the allegations are deemed to be of a significantly serious nature and if there is enough substance in the allegations to be tested on the balance of probabilities the Case Manager will be asked to continue with this investigation procedure.  </w:t>
      </w:r>
    </w:p>
    <w:p w14:paraId="7CE62A43" w14:textId="77777777" w:rsidR="00CC3032" w:rsidRDefault="00CC3032" w:rsidP="00CC3032">
      <w:pPr>
        <w:spacing w:after="160" w:line="259" w:lineRule="auto"/>
        <w:rPr>
          <w:rFonts w:ascii="Arial" w:eastAsia="Arial" w:hAnsi="Arial" w:cs="Arial"/>
          <w:smallCaps/>
        </w:rPr>
      </w:pPr>
      <w:r>
        <w:rPr>
          <w:rFonts w:ascii="Arial" w:eastAsia="Arial" w:hAnsi="Arial" w:cs="Arial"/>
          <w:b/>
          <w:smallCaps/>
        </w:rPr>
        <w:t xml:space="preserve">5.     </w:t>
      </w:r>
      <w:r>
        <w:rPr>
          <w:rFonts w:ascii="Arial" w:eastAsia="Arial" w:hAnsi="Arial" w:cs="Arial"/>
          <w:b/>
        </w:rPr>
        <w:t>Investigation</w:t>
      </w:r>
    </w:p>
    <w:p w14:paraId="24F0529D" w14:textId="77777777" w:rsidR="00CC3032" w:rsidRDefault="00CC3032" w:rsidP="00CC3032">
      <w:pPr>
        <w:widowControl w:val="0"/>
        <w:numPr>
          <w:ilvl w:val="0"/>
          <w:numId w:val="15"/>
        </w:numPr>
        <w:pBdr>
          <w:top w:val="nil"/>
          <w:left w:val="nil"/>
          <w:bottom w:val="nil"/>
          <w:right w:val="nil"/>
          <w:between w:val="nil"/>
        </w:pBdr>
        <w:tabs>
          <w:tab w:val="left" w:pos="200"/>
        </w:tabs>
        <w:spacing w:before="240" w:after="240" w:line="360" w:lineRule="auto"/>
        <w:ind w:right="285"/>
        <w:jc w:val="both"/>
        <w:rPr>
          <w:rFonts w:ascii="Arial" w:eastAsia="Arial" w:hAnsi="Arial" w:cs="Arial"/>
          <w:color w:val="000000"/>
        </w:rPr>
      </w:pPr>
      <w:r>
        <w:rPr>
          <w:rFonts w:ascii="Arial" w:eastAsia="Arial" w:hAnsi="Arial" w:cs="Arial"/>
          <w:color w:val="000000"/>
        </w:rPr>
        <w:t xml:space="preserve">All witnesses being provided with an explanation of the procedure. </w:t>
      </w:r>
    </w:p>
    <w:p w14:paraId="329E17B2" w14:textId="77777777" w:rsidR="00CC3032" w:rsidRPr="002E75FD" w:rsidRDefault="00CC3032" w:rsidP="00CC3032">
      <w:pPr>
        <w:widowControl w:val="0"/>
        <w:numPr>
          <w:ilvl w:val="0"/>
          <w:numId w:val="15"/>
        </w:numPr>
        <w:pBdr>
          <w:top w:val="nil"/>
          <w:left w:val="nil"/>
          <w:bottom w:val="nil"/>
          <w:right w:val="nil"/>
          <w:between w:val="nil"/>
        </w:pBdr>
        <w:tabs>
          <w:tab w:val="left" w:pos="200"/>
        </w:tabs>
        <w:spacing w:before="240" w:after="240" w:line="360" w:lineRule="auto"/>
        <w:ind w:right="285"/>
        <w:jc w:val="both"/>
        <w:rPr>
          <w:rFonts w:ascii="Arial" w:eastAsia="Arial" w:hAnsi="Arial" w:cs="Arial"/>
          <w:color w:val="000000"/>
        </w:rPr>
      </w:pPr>
      <w:r>
        <w:rPr>
          <w:rFonts w:ascii="Arial" w:eastAsia="Arial" w:hAnsi="Arial" w:cs="Arial"/>
          <w:color w:val="000000"/>
        </w:rPr>
        <w:t xml:space="preserve">Writing up, as a set of alleged breaches of the relevant code of conduct, legislation, or allegations of types of misconduct where a code does not </w:t>
      </w:r>
    </w:p>
    <w:p w14:paraId="75FFC627" w14:textId="77777777" w:rsidR="00CC3032" w:rsidRDefault="00CC3032" w:rsidP="00CC3032">
      <w:pPr>
        <w:widowControl w:val="0"/>
        <w:numPr>
          <w:ilvl w:val="0"/>
          <w:numId w:val="15"/>
        </w:numPr>
        <w:pBdr>
          <w:top w:val="nil"/>
          <w:left w:val="nil"/>
          <w:bottom w:val="nil"/>
          <w:right w:val="nil"/>
          <w:between w:val="nil"/>
        </w:pBdr>
        <w:tabs>
          <w:tab w:val="left" w:pos="200"/>
        </w:tabs>
        <w:spacing w:before="240" w:after="240" w:line="360" w:lineRule="auto"/>
        <w:ind w:right="285"/>
        <w:jc w:val="both"/>
        <w:rPr>
          <w:rFonts w:ascii="Arial" w:eastAsia="Arial" w:hAnsi="Arial" w:cs="Arial"/>
          <w:color w:val="000000"/>
        </w:rPr>
      </w:pPr>
      <w:r>
        <w:rPr>
          <w:rFonts w:ascii="Arial" w:eastAsia="Arial" w:hAnsi="Arial" w:cs="Arial"/>
          <w:color w:val="000000"/>
        </w:rPr>
        <w:t>apply. This document may include relevant witness statements being signed and attached.</w:t>
      </w:r>
    </w:p>
    <w:p w14:paraId="7061B2BD" w14:textId="77777777" w:rsidR="00CC3032" w:rsidRDefault="00CC3032" w:rsidP="00CC3032">
      <w:pPr>
        <w:widowControl w:val="0"/>
        <w:numPr>
          <w:ilvl w:val="0"/>
          <w:numId w:val="15"/>
        </w:numPr>
        <w:pBdr>
          <w:top w:val="nil"/>
          <w:left w:val="nil"/>
          <w:bottom w:val="nil"/>
          <w:right w:val="nil"/>
          <w:between w:val="nil"/>
        </w:pBdr>
        <w:tabs>
          <w:tab w:val="left" w:pos="200"/>
        </w:tabs>
        <w:spacing w:before="240" w:after="240" w:line="360" w:lineRule="auto"/>
        <w:ind w:right="285"/>
        <w:jc w:val="both"/>
        <w:rPr>
          <w:rFonts w:ascii="Arial" w:eastAsia="Arial" w:hAnsi="Arial" w:cs="Arial"/>
          <w:color w:val="000000"/>
        </w:rPr>
      </w:pPr>
      <w:r>
        <w:rPr>
          <w:rFonts w:ascii="Arial" w:eastAsia="Arial" w:hAnsi="Arial" w:cs="Arial"/>
          <w:color w:val="000000"/>
        </w:rPr>
        <w:t>A support person will be offered to all parties by the Head of Relevant Entity. Support persons will be asked to attend all face-to-face meetings</w:t>
      </w:r>
    </w:p>
    <w:p w14:paraId="6F12DE24" w14:textId="77777777" w:rsidR="00CC3032" w:rsidRDefault="00CC3032" w:rsidP="00CC3032">
      <w:pPr>
        <w:widowControl w:val="0"/>
        <w:numPr>
          <w:ilvl w:val="0"/>
          <w:numId w:val="15"/>
        </w:numPr>
        <w:pBdr>
          <w:top w:val="nil"/>
          <w:left w:val="nil"/>
          <w:bottom w:val="nil"/>
          <w:right w:val="nil"/>
          <w:between w:val="nil"/>
        </w:pBdr>
        <w:tabs>
          <w:tab w:val="left" w:pos="200"/>
        </w:tabs>
        <w:spacing w:before="240" w:after="240" w:line="360" w:lineRule="auto"/>
        <w:ind w:right="285"/>
        <w:jc w:val="both"/>
        <w:rPr>
          <w:rFonts w:ascii="Arial" w:eastAsia="Arial" w:hAnsi="Arial" w:cs="Arial"/>
          <w:color w:val="000000"/>
        </w:rPr>
      </w:pPr>
      <w:r>
        <w:rPr>
          <w:rFonts w:ascii="Arial" w:eastAsia="Arial" w:hAnsi="Arial" w:cs="Arial"/>
          <w:color w:val="000000"/>
        </w:rPr>
        <w:t xml:space="preserve">Where the matter is workplace related the PSOA will be contacted by the Head of the Relevant Entity or appointee, notifying the PSOA that allegation/s of misconduct have been received and will need to be formally investigated. </w:t>
      </w:r>
    </w:p>
    <w:p w14:paraId="41E0F10E" w14:textId="77777777" w:rsidR="00CC3032" w:rsidRDefault="00CC3032" w:rsidP="00CC3032">
      <w:pPr>
        <w:widowControl w:val="0"/>
        <w:numPr>
          <w:ilvl w:val="0"/>
          <w:numId w:val="15"/>
        </w:numPr>
        <w:pBdr>
          <w:top w:val="nil"/>
          <w:left w:val="nil"/>
          <w:bottom w:val="nil"/>
          <w:right w:val="nil"/>
          <w:between w:val="nil"/>
        </w:pBdr>
        <w:tabs>
          <w:tab w:val="left" w:pos="200"/>
        </w:tabs>
        <w:spacing w:before="240" w:after="240" w:line="360" w:lineRule="auto"/>
        <w:ind w:right="285"/>
        <w:jc w:val="both"/>
        <w:rPr>
          <w:rFonts w:ascii="Arial" w:eastAsia="Arial" w:hAnsi="Arial" w:cs="Arial"/>
          <w:color w:val="000000"/>
        </w:rPr>
      </w:pPr>
      <w:r>
        <w:rPr>
          <w:rFonts w:ascii="Arial" w:eastAsia="Arial" w:hAnsi="Arial" w:cs="Arial"/>
          <w:color w:val="000000"/>
        </w:rPr>
        <w:t xml:space="preserve">The PSOA will be informed of the allegations in writing with clear instruction in relation to this procedure, and a </w:t>
      </w:r>
      <w:proofErr w:type="gramStart"/>
      <w:r>
        <w:rPr>
          <w:rFonts w:ascii="Arial" w:eastAsia="Arial" w:hAnsi="Arial" w:cs="Arial"/>
          <w:color w:val="000000"/>
        </w:rPr>
        <w:t>clearly-defined</w:t>
      </w:r>
      <w:proofErr w:type="gramEnd"/>
      <w:r>
        <w:rPr>
          <w:rFonts w:ascii="Arial" w:eastAsia="Arial" w:hAnsi="Arial" w:cs="Arial"/>
          <w:color w:val="000000"/>
        </w:rPr>
        <w:t xml:space="preserve"> outline of the steps in this procedure for responding to the allegations.</w:t>
      </w:r>
    </w:p>
    <w:p w14:paraId="6D8C882A" w14:textId="77777777" w:rsidR="00CC3032" w:rsidRDefault="00CC3032" w:rsidP="00CC3032">
      <w:pPr>
        <w:widowControl w:val="0"/>
        <w:pBdr>
          <w:top w:val="nil"/>
          <w:left w:val="nil"/>
          <w:bottom w:val="nil"/>
          <w:right w:val="nil"/>
          <w:between w:val="nil"/>
        </w:pBdr>
        <w:tabs>
          <w:tab w:val="left" w:pos="200"/>
        </w:tabs>
        <w:spacing w:before="240" w:after="240" w:line="360" w:lineRule="auto"/>
        <w:ind w:left="1004" w:right="285"/>
        <w:jc w:val="both"/>
        <w:rPr>
          <w:rFonts w:ascii="Arial" w:eastAsia="Arial" w:hAnsi="Arial" w:cs="Arial"/>
          <w:color w:val="000000"/>
        </w:rPr>
      </w:pPr>
      <w:r>
        <w:rPr>
          <w:rFonts w:ascii="Arial" w:eastAsia="Arial" w:hAnsi="Arial" w:cs="Arial"/>
          <w:color w:val="000000"/>
        </w:rPr>
        <w:t xml:space="preserve">The PSOA will be provided with an explanation of any risk management actions to be put in place, e.g. Interim Safety Measures in the case of sexually related matters. Where the allegations require the PSOA to step </w:t>
      </w:r>
      <w:r>
        <w:rPr>
          <w:rFonts w:ascii="Arial" w:eastAsia="Arial" w:hAnsi="Arial" w:cs="Arial"/>
          <w:color w:val="000000"/>
        </w:rPr>
        <w:lastRenderedPageBreak/>
        <w:t>aside from duties, this will be explained. Note: At this stage these are allegations only and stepping aside is not to be seen as an expression of guilt, but rather a risk management step for all parties.</w:t>
      </w:r>
    </w:p>
    <w:p w14:paraId="4350AA8B" w14:textId="77777777" w:rsidR="00CC3032" w:rsidRDefault="00CC3032" w:rsidP="00CC3032">
      <w:pPr>
        <w:widowControl w:val="0"/>
        <w:numPr>
          <w:ilvl w:val="0"/>
          <w:numId w:val="15"/>
        </w:numPr>
        <w:pBdr>
          <w:top w:val="nil"/>
          <w:left w:val="nil"/>
          <w:bottom w:val="nil"/>
          <w:right w:val="nil"/>
          <w:between w:val="nil"/>
        </w:pBdr>
        <w:tabs>
          <w:tab w:val="left" w:pos="200"/>
        </w:tabs>
        <w:spacing w:before="240" w:after="240" w:line="360" w:lineRule="auto"/>
        <w:ind w:right="285"/>
        <w:jc w:val="both"/>
        <w:rPr>
          <w:rFonts w:ascii="Arial" w:eastAsia="Arial" w:hAnsi="Arial" w:cs="Arial"/>
          <w:color w:val="000000"/>
        </w:rPr>
      </w:pPr>
      <w:r>
        <w:rPr>
          <w:rFonts w:ascii="Arial" w:eastAsia="Arial" w:hAnsi="Arial" w:cs="Arial"/>
          <w:color w:val="000000"/>
        </w:rPr>
        <w:t>The PSOA will have 21 days to write a response to the allegations.</w:t>
      </w:r>
    </w:p>
    <w:p w14:paraId="08AB76EF" w14:textId="77777777" w:rsidR="00CC3032" w:rsidRDefault="00CC3032" w:rsidP="00CC3032">
      <w:pPr>
        <w:widowControl w:val="0"/>
        <w:numPr>
          <w:ilvl w:val="0"/>
          <w:numId w:val="15"/>
        </w:numPr>
        <w:pBdr>
          <w:top w:val="nil"/>
          <w:left w:val="nil"/>
          <w:bottom w:val="nil"/>
          <w:right w:val="nil"/>
          <w:between w:val="nil"/>
        </w:pBdr>
        <w:tabs>
          <w:tab w:val="left" w:pos="200"/>
        </w:tabs>
        <w:spacing w:before="240" w:after="240" w:line="360" w:lineRule="auto"/>
        <w:ind w:right="285"/>
        <w:jc w:val="both"/>
        <w:rPr>
          <w:rFonts w:ascii="Arial" w:eastAsia="Arial" w:hAnsi="Arial" w:cs="Arial"/>
          <w:color w:val="000000"/>
        </w:rPr>
      </w:pPr>
      <w:r>
        <w:rPr>
          <w:rFonts w:ascii="Arial" w:eastAsia="Arial" w:hAnsi="Arial" w:cs="Arial"/>
          <w:color w:val="000000"/>
        </w:rPr>
        <w:t>The CRG will discuss the response (can be electronically) and decide on an appropriate next step of the procedure based on the response and alert all parties (including relevant officer holders).</w:t>
      </w:r>
    </w:p>
    <w:p w14:paraId="34FE5989" w14:textId="77777777" w:rsidR="00CC3032" w:rsidRDefault="00CC3032" w:rsidP="00CC3032">
      <w:pPr>
        <w:widowControl w:val="0"/>
        <w:numPr>
          <w:ilvl w:val="0"/>
          <w:numId w:val="15"/>
        </w:numPr>
        <w:pBdr>
          <w:top w:val="nil"/>
          <w:left w:val="nil"/>
          <w:bottom w:val="nil"/>
          <w:right w:val="nil"/>
          <w:between w:val="nil"/>
        </w:pBdr>
        <w:tabs>
          <w:tab w:val="left" w:pos="200"/>
        </w:tabs>
        <w:spacing w:before="240" w:after="240" w:line="360" w:lineRule="auto"/>
        <w:ind w:right="285"/>
        <w:jc w:val="both"/>
        <w:rPr>
          <w:rFonts w:ascii="Arial" w:eastAsia="Arial" w:hAnsi="Arial" w:cs="Arial"/>
          <w:color w:val="000000"/>
        </w:rPr>
      </w:pPr>
      <w:r>
        <w:rPr>
          <w:rFonts w:ascii="Arial" w:eastAsia="Arial" w:hAnsi="Arial" w:cs="Arial"/>
          <w:color w:val="000000"/>
        </w:rPr>
        <w:t xml:space="preserve">If the PSOA acknowledges/admits the </w:t>
      </w:r>
      <w:proofErr w:type="gramStart"/>
      <w:r>
        <w:rPr>
          <w:rFonts w:ascii="Arial" w:eastAsia="Arial" w:hAnsi="Arial" w:cs="Arial"/>
          <w:color w:val="000000"/>
        </w:rPr>
        <w:t>misconduct, or</w:t>
      </w:r>
      <w:proofErr w:type="gramEnd"/>
      <w:r>
        <w:rPr>
          <w:rFonts w:ascii="Arial" w:eastAsia="Arial" w:hAnsi="Arial" w:cs="Arial"/>
          <w:color w:val="000000"/>
        </w:rPr>
        <w:t xml:space="preserve"> does not significantly deny the allegation/s or does not significantly dispute the substance allegations the CRG consider the case and refer the matter to the Head of Relevant Entity for determination.</w:t>
      </w:r>
    </w:p>
    <w:p w14:paraId="1CBDA4C7" w14:textId="77777777" w:rsidR="00CC3032" w:rsidRDefault="00CC3032" w:rsidP="00CC3032">
      <w:pPr>
        <w:widowControl w:val="0"/>
        <w:numPr>
          <w:ilvl w:val="0"/>
          <w:numId w:val="15"/>
        </w:numPr>
        <w:pBdr>
          <w:top w:val="nil"/>
          <w:left w:val="nil"/>
          <w:bottom w:val="nil"/>
          <w:right w:val="nil"/>
          <w:between w:val="nil"/>
        </w:pBdr>
        <w:tabs>
          <w:tab w:val="left" w:pos="200"/>
        </w:tabs>
        <w:spacing w:before="240" w:after="240" w:line="360" w:lineRule="auto"/>
        <w:ind w:right="285"/>
        <w:jc w:val="both"/>
        <w:rPr>
          <w:rFonts w:ascii="Arial" w:eastAsia="Arial" w:hAnsi="Arial" w:cs="Arial"/>
          <w:color w:val="000000"/>
        </w:rPr>
      </w:pPr>
      <w:r>
        <w:rPr>
          <w:rFonts w:ascii="Arial" w:eastAsia="Arial" w:hAnsi="Arial" w:cs="Arial"/>
          <w:color w:val="000000"/>
          <w:sz w:val="22"/>
          <w:szCs w:val="22"/>
        </w:rPr>
        <w:t>Further investigation of significantly disputed matters</w:t>
      </w:r>
    </w:p>
    <w:p w14:paraId="32672F20" w14:textId="77777777" w:rsidR="00CC3032" w:rsidRDefault="00CC3032" w:rsidP="00CC3032">
      <w:pPr>
        <w:widowControl w:val="0"/>
        <w:numPr>
          <w:ilvl w:val="1"/>
          <w:numId w:val="26"/>
        </w:numPr>
        <w:pBdr>
          <w:top w:val="nil"/>
          <w:left w:val="nil"/>
          <w:bottom w:val="nil"/>
          <w:right w:val="nil"/>
          <w:between w:val="nil"/>
        </w:pBdr>
        <w:tabs>
          <w:tab w:val="left" w:pos="200"/>
        </w:tabs>
        <w:spacing w:before="240" w:after="240" w:line="360" w:lineRule="auto"/>
        <w:ind w:right="285"/>
        <w:jc w:val="both"/>
        <w:rPr>
          <w:rFonts w:ascii="Arial" w:eastAsia="Arial" w:hAnsi="Arial" w:cs="Arial"/>
          <w:color w:val="000000"/>
        </w:rPr>
      </w:pPr>
      <w:r>
        <w:rPr>
          <w:rFonts w:ascii="Arial" w:eastAsia="Arial" w:hAnsi="Arial" w:cs="Arial"/>
          <w:color w:val="000000"/>
          <w:sz w:val="22"/>
          <w:szCs w:val="22"/>
        </w:rPr>
        <w:t xml:space="preserve">If the PSOA disputes the allegations significantly (denies the substance of the allegation/s), the matter will be considered by the CRG in terms of whether the matter should be at this point tested by them on the balance of probability or whether the matter should be referred to an external investigator for further assessment of facts on the balance of probability. </w:t>
      </w:r>
      <w:r>
        <w:rPr>
          <w:rFonts w:ascii="Arial" w:eastAsia="Arial" w:hAnsi="Arial" w:cs="Arial"/>
          <w:color w:val="000000"/>
        </w:rPr>
        <w:t xml:space="preserve"> </w:t>
      </w:r>
      <w:r>
        <w:rPr>
          <w:rFonts w:ascii="Arial" w:eastAsia="Arial" w:hAnsi="Arial" w:cs="Arial"/>
          <w:color w:val="000000"/>
          <w:sz w:val="22"/>
          <w:szCs w:val="22"/>
        </w:rPr>
        <w:t>The decision to appoint an external investigator will take into consideration: the type of allegations (nature and seriousness), the outcomes for the PSOA if the allegations were to be found more likely to have occurred and ability to test the allegations, i.e. credible witnesses, other corroborating facts.</w:t>
      </w:r>
    </w:p>
    <w:p w14:paraId="3B87A762" w14:textId="77777777" w:rsidR="00CC3032" w:rsidRDefault="00CC3032" w:rsidP="00CC3032">
      <w:pPr>
        <w:widowControl w:val="0"/>
        <w:numPr>
          <w:ilvl w:val="1"/>
          <w:numId w:val="26"/>
        </w:numPr>
        <w:pBdr>
          <w:top w:val="nil"/>
          <w:left w:val="nil"/>
          <w:bottom w:val="nil"/>
          <w:right w:val="nil"/>
          <w:between w:val="nil"/>
        </w:pBdr>
        <w:tabs>
          <w:tab w:val="left" w:pos="200"/>
        </w:tabs>
        <w:spacing w:before="240" w:after="240" w:line="360" w:lineRule="auto"/>
        <w:ind w:right="285"/>
        <w:jc w:val="both"/>
        <w:rPr>
          <w:rFonts w:ascii="Arial" w:eastAsia="Arial" w:hAnsi="Arial" w:cs="Arial"/>
          <w:color w:val="000000"/>
        </w:rPr>
      </w:pPr>
      <w:r>
        <w:rPr>
          <w:rFonts w:ascii="Arial" w:eastAsia="Arial" w:hAnsi="Arial" w:cs="Arial"/>
          <w:color w:val="000000"/>
          <w:sz w:val="22"/>
          <w:szCs w:val="22"/>
        </w:rPr>
        <w:t xml:space="preserve">The CRG will appoint an appropriately experienced external investigator to assess the facts and to then provide a Case Report to the CRG.  </w:t>
      </w:r>
      <w:r>
        <w:rPr>
          <w:rFonts w:ascii="Arial" w:eastAsia="Arial" w:hAnsi="Arial" w:cs="Arial"/>
          <w:b/>
          <w:color w:val="000000"/>
          <w:sz w:val="22"/>
          <w:szCs w:val="22"/>
        </w:rPr>
        <w:t>NOTE</w:t>
      </w:r>
      <w:r>
        <w:rPr>
          <w:rFonts w:ascii="Arial" w:eastAsia="Arial" w:hAnsi="Arial" w:cs="Arial"/>
          <w:color w:val="000000"/>
          <w:sz w:val="22"/>
          <w:szCs w:val="22"/>
        </w:rPr>
        <w:t xml:space="preserve">: In some jurisdictions the external case manager may be required by law to hold an investigator’s licence, e.g. In NSW a CAPI licence unless the person is a lawyer. </w:t>
      </w:r>
    </w:p>
    <w:p w14:paraId="5E2D1C63" w14:textId="77777777" w:rsidR="00CC3032" w:rsidRDefault="00CC3032" w:rsidP="00CC3032">
      <w:pPr>
        <w:widowControl w:val="0"/>
        <w:numPr>
          <w:ilvl w:val="1"/>
          <w:numId w:val="26"/>
        </w:numPr>
        <w:pBdr>
          <w:top w:val="nil"/>
          <w:left w:val="nil"/>
          <w:bottom w:val="nil"/>
          <w:right w:val="nil"/>
          <w:between w:val="nil"/>
        </w:pBdr>
        <w:tabs>
          <w:tab w:val="left" w:pos="200"/>
        </w:tabs>
        <w:spacing w:before="240" w:after="240" w:line="360" w:lineRule="auto"/>
        <w:ind w:right="285"/>
        <w:jc w:val="both"/>
        <w:rPr>
          <w:rFonts w:ascii="Arial" w:eastAsia="Arial" w:hAnsi="Arial" w:cs="Arial"/>
          <w:color w:val="000000"/>
        </w:rPr>
      </w:pPr>
      <w:r>
        <w:rPr>
          <w:rFonts w:ascii="Arial" w:eastAsia="Arial" w:hAnsi="Arial" w:cs="Arial"/>
          <w:color w:val="000000"/>
          <w:sz w:val="22"/>
          <w:szCs w:val="22"/>
        </w:rPr>
        <w:t>The Case Manager will provide the investigator with all the documents to date.</w:t>
      </w:r>
    </w:p>
    <w:p w14:paraId="7261CD9E" w14:textId="77777777" w:rsidR="00CC3032" w:rsidRDefault="00CC3032">
      <w:pPr>
        <w:spacing w:after="160" w:line="259" w:lineRule="auto"/>
        <w:rPr>
          <w:rFonts w:ascii="Arial" w:eastAsia="Arial" w:hAnsi="Arial" w:cs="Arial"/>
          <w:color w:val="000000"/>
          <w:sz w:val="22"/>
          <w:szCs w:val="22"/>
        </w:rPr>
      </w:pPr>
      <w:r>
        <w:rPr>
          <w:rFonts w:ascii="Arial" w:eastAsia="Arial" w:hAnsi="Arial" w:cs="Arial"/>
          <w:color w:val="000000"/>
          <w:sz w:val="22"/>
          <w:szCs w:val="22"/>
        </w:rPr>
        <w:br w:type="page"/>
      </w:r>
    </w:p>
    <w:p w14:paraId="03A6EE3D" w14:textId="6C0AB8D6" w:rsidR="00CC3032" w:rsidRDefault="00CC3032" w:rsidP="00CC3032">
      <w:pPr>
        <w:widowControl w:val="0"/>
        <w:numPr>
          <w:ilvl w:val="1"/>
          <w:numId w:val="26"/>
        </w:numPr>
        <w:pBdr>
          <w:top w:val="nil"/>
          <w:left w:val="nil"/>
          <w:bottom w:val="nil"/>
          <w:right w:val="nil"/>
          <w:between w:val="nil"/>
        </w:pBdr>
        <w:tabs>
          <w:tab w:val="left" w:pos="200"/>
        </w:tabs>
        <w:spacing w:before="240" w:after="240" w:line="360" w:lineRule="auto"/>
        <w:ind w:right="285"/>
        <w:jc w:val="both"/>
        <w:rPr>
          <w:rFonts w:ascii="Arial" w:eastAsia="Arial" w:hAnsi="Arial" w:cs="Arial"/>
          <w:color w:val="000000"/>
        </w:rPr>
      </w:pPr>
      <w:r>
        <w:rPr>
          <w:rFonts w:ascii="Arial" w:eastAsia="Arial" w:hAnsi="Arial" w:cs="Arial"/>
          <w:color w:val="000000"/>
          <w:sz w:val="22"/>
          <w:szCs w:val="22"/>
        </w:rPr>
        <w:lastRenderedPageBreak/>
        <w:t>The investigator shall arrange interviews (phone or face-to-face) with the all relevant parties, record these interviews and produce where deemed necessary transcripts of these interviews.</w:t>
      </w:r>
    </w:p>
    <w:p w14:paraId="360E5FB2" w14:textId="77777777" w:rsidR="00CC3032" w:rsidRPr="002E75FD" w:rsidRDefault="00CC3032" w:rsidP="00CC3032">
      <w:pPr>
        <w:widowControl w:val="0"/>
        <w:numPr>
          <w:ilvl w:val="1"/>
          <w:numId w:val="26"/>
        </w:numPr>
        <w:pBdr>
          <w:top w:val="nil"/>
          <w:left w:val="nil"/>
          <w:bottom w:val="nil"/>
          <w:right w:val="nil"/>
          <w:between w:val="nil"/>
        </w:pBdr>
        <w:tabs>
          <w:tab w:val="left" w:pos="200"/>
        </w:tabs>
        <w:spacing w:before="240" w:after="240" w:line="360" w:lineRule="auto"/>
        <w:ind w:right="285"/>
        <w:jc w:val="both"/>
        <w:rPr>
          <w:rFonts w:ascii="Arial" w:eastAsia="Arial" w:hAnsi="Arial" w:cs="Arial"/>
          <w:color w:val="000000"/>
        </w:rPr>
      </w:pPr>
      <w:r>
        <w:rPr>
          <w:rFonts w:ascii="Arial" w:eastAsia="Arial" w:hAnsi="Arial" w:cs="Arial"/>
          <w:color w:val="000000"/>
          <w:sz w:val="22"/>
          <w:szCs w:val="22"/>
        </w:rPr>
        <w:t>Under no circumstances shall there be any attempt to intimidate any party.</w:t>
      </w:r>
    </w:p>
    <w:p w14:paraId="6079F8B8" w14:textId="77777777" w:rsidR="00CC3032" w:rsidRDefault="00CC3032" w:rsidP="00CC3032">
      <w:pPr>
        <w:widowControl w:val="0"/>
        <w:numPr>
          <w:ilvl w:val="1"/>
          <w:numId w:val="26"/>
        </w:numPr>
        <w:pBdr>
          <w:top w:val="nil"/>
          <w:left w:val="nil"/>
          <w:bottom w:val="nil"/>
          <w:right w:val="nil"/>
          <w:between w:val="nil"/>
        </w:pBdr>
        <w:tabs>
          <w:tab w:val="left" w:pos="200"/>
        </w:tabs>
        <w:spacing w:before="240" w:after="240" w:line="360" w:lineRule="auto"/>
        <w:ind w:right="285"/>
        <w:jc w:val="both"/>
        <w:rPr>
          <w:rFonts w:ascii="Arial" w:eastAsia="Arial" w:hAnsi="Arial" w:cs="Arial"/>
          <w:color w:val="000000"/>
        </w:rPr>
      </w:pPr>
      <w:r>
        <w:rPr>
          <w:rFonts w:ascii="Arial" w:eastAsia="Arial" w:hAnsi="Arial" w:cs="Arial"/>
          <w:color w:val="000000"/>
          <w:sz w:val="22"/>
          <w:szCs w:val="22"/>
        </w:rPr>
        <w:t>No interview with a child will take place if there is a risk that this will interfere with the proper process of civil or criminal law. No interview shall be conducted with a child without the express written authority of, in the presence of the parent or guardian and only then by a person recognised as skilled practitioner in interviewing children. Special care shall also be taken in interviewing persons with an intellectual or psychiatric disability, these are to be conducted by an appropriately experienced person.</w:t>
      </w:r>
    </w:p>
    <w:p w14:paraId="42478881" w14:textId="77777777" w:rsidR="00CC3032" w:rsidRDefault="00CC3032" w:rsidP="00CC3032">
      <w:pPr>
        <w:widowControl w:val="0"/>
        <w:numPr>
          <w:ilvl w:val="1"/>
          <w:numId w:val="26"/>
        </w:numPr>
        <w:pBdr>
          <w:top w:val="nil"/>
          <w:left w:val="nil"/>
          <w:bottom w:val="nil"/>
          <w:right w:val="nil"/>
          <w:between w:val="nil"/>
        </w:pBdr>
        <w:tabs>
          <w:tab w:val="left" w:pos="200"/>
        </w:tabs>
        <w:spacing w:before="240" w:after="240" w:line="360" w:lineRule="auto"/>
        <w:ind w:right="285"/>
        <w:jc w:val="both"/>
        <w:rPr>
          <w:rFonts w:ascii="Arial" w:eastAsia="Arial" w:hAnsi="Arial" w:cs="Arial"/>
          <w:color w:val="000000"/>
        </w:rPr>
      </w:pPr>
      <w:r>
        <w:rPr>
          <w:rFonts w:ascii="Arial" w:eastAsia="Arial" w:hAnsi="Arial" w:cs="Arial"/>
          <w:color w:val="000000"/>
          <w:sz w:val="22"/>
          <w:szCs w:val="22"/>
        </w:rPr>
        <w:t>A PSOA may be invited to admit to the alleged misconduct.</w:t>
      </w:r>
    </w:p>
    <w:p w14:paraId="4D4C98A6" w14:textId="77777777" w:rsidR="00CC3032" w:rsidRDefault="00CC3032" w:rsidP="00CC3032">
      <w:pPr>
        <w:widowControl w:val="0"/>
        <w:numPr>
          <w:ilvl w:val="1"/>
          <w:numId w:val="26"/>
        </w:numPr>
        <w:pBdr>
          <w:top w:val="nil"/>
          <w:left w:val="nil"/>
          <w:bottom w:val="nil"/>
          <w:right w:val="nil"/>
          <w:between w:val="nil"/>
        </w:pBdr>
        <w:tabs>
          <w:tab w:val="left" w:pos="200"/>
        </w:tabs>
        <w:spacing w:before="240" w:after="240" w:line="360" w:lineRule="auto"/>
        <w:ind w:right="285"/>
        <w:jc w:val="both"/>
        <w:rPr>
          <w:rFonts w:ascii="Arial" w:eastAsia="Arial" w:hAnsi="Arial" w:cs="Arial"/>
          <w:color w:val="000000"/>
        </w:rPr>
      </w:pPr>
      <w:r>
        <w:rPr>
          <w:rFonts w:ascii="Arial" w:eastAsia="Arial" w:hAnsi="Arial" w:cs="Arial"/>
          <w:color w:val="000000"/>
          <w:sz w:val="22"/>
          <w:szCs w:val="22"/>
        </w:rPr>
        <w:t>A PSOA has the right to obtain independent legal advice at their own expense.</w:t>
      </w:r>
    </w:p>
    <w:p w14:paraId="0E8905B4" w14:textId="77777777" w:rsidR="00CC3032" w:rsidRDefault="00CC3032" w:rsidP="00CC3032">
      <w:pPr>
        <w:widowControl w:val="0"/>
        <w:numPr>
          <w:ilvl w:val="1"/>
          <w:numId w:val="26"/>
        </w:numPr>
        <w:pBdr>
          <w:top w:val="nil"/>
          <w:left w:val="nil"/>
          <w:bottom w:val="nil"/>
          <w:right w:val="nil"/>
          <w:between w:val="nil"/>
        </w:pBdr>
        <w:tabs>
          <w:tab w:val="left" w:pos="200"/>
        </w:tabs>
        <w:spacing w:before="240" w:after="240" w:line="360" w:lineRule="auto"/>
        <w:ind w:right="285"/>
        <w:jc w:val="both"/>
        <w:rPr>
          <w:rFonts w:ascii="Arial" w:eastAsia="Arial" w:hAnsi="Arial" w:cs="Arial"/>
          <w:color w:val="000000"/>
        </w:rPr>
      </w:pPr>
      <w:r>
        <w:rPr>
          <w:rFonts w:ascii="Arial" w:eastAsia="Arial" w:hAnsi="Arial" w:cs="Arial"/>
          <w:color w:val="000000"/>
          <w:sz w:val="22"/>
          <w:szCs w:val="22"/>
        </w:rPr>
        <w:t>A written Case Report shall be given to the CRG.  The investigator shall present the evidence, examine the areas of dispute and provide conclusions to the CRG as to whether the alleged behaviour is more likely to have occurred than not, based on the balance of probabilities.  The investigator must provide evidence-based reasons for their conclusions. If they are unable to reach a determination based on the balance of probabilities, they may make risk management suggestions to the CRG.</w:t>
      </w:r>
    </w:p>
    <w:p w14:paraId="39AC855C" w14:textId="77777777" w:rsidR="00CC3032" w:rsidRPr="002E75FD" w:rsidRDefault="00CC3032" w:rsidP="00CC3032">
      <w:pPr>
        <w:widowControl w:val="0"/>
        <w:pBdr>
          <w:top w:val="nil"/>
          <w:left w:val="nil"/>
          <w:bottom w:val="nil"/>
          <w:right w:val="nil"/>
          <w:between w:val="nil"/>
        </w:pBdr>
        <w:tabs>
          <w:tab w:val="left" w:pos="200"/>
        </w:tabs>
        <w:spacing w:before="240" w:after="240" w:line="360" w:lineRule="auto"/>
        <w:ind w:right="285"/>
        <w:rPr>
          <w:rFonts w:ascii="Arial" w:eastAsia="Arial" w:hAnsi="Arial" w:cs="Arial"/>
          <w:b/>
          <w:color w:val="000000"/>
        </w:rPr>
      </w:pPr>
      <w:r w:rsidRPr="002E75FD">
        <w:rPr>
          <w:rFonts w:ascii="Arial" w:eastAsia="Arial" w:hAnsi="Arial" w:cs="Arial"/>
          <w:b/>
          <w:color w:val="000000"/>
        </w:rPr>
        <w:t>6.</w:t>
      </w:r>
      <w:r>
        <w:rPr>
          <w:rFonts w:ascii="Arial" w:eastAsia="Arial" w:hAnsi="Arial" w:cs="Arial"/>
          <w:b/>
          <w:color w:val="000000"/>
        </w:rPr>
        <w:t xml:space="preserve">  </w:t>
      </w:r>
      <w:r w:rsidRPr="002E75FD">
        <w:rPr>
          <w:rFonts w:ascii="Arial" w:eastAsia="Arial" w:hAnsi="Arial" w:cs="Arial"/>
          <w:b/>
          <w:color w:val="000000"/>
        </w:rPr>
        <w:t xml:space="preserve">CRG findings </w:t>
      </w:r>
    </w:p>
    <w:p w14:paraId="2A84F264" w14:textId="77777777" w:rsidR="00CC3032" w:rsidRDefault="00CC3032" w:rsidP="00CC3032">
      <w:pPr>
        <w:widowControl w:val="0"/>
        <w:numPr>
          <w:ilvl w:val="0"/>
          <w:numId w:val="17"/>
        </w:numPr>
        <w:pBdr>
          <w:top w:val="nil"/>
          <w:left w:val="nil"/>
          <w:bottom w:val="nil"/>
          <w:right w:val="nil"/>
          <w:between w:val="nil"/>
        </w:pBdr>
        <w:tabs>
          <w:tab w:val="left" w:pos="200"/>
          <w:tab w:val="left" w:pos="709"/>
        </w:tabs>
        <w:spacing w:before="240" w:after="240" w:line="360" w:lineRule="auto"/>
        <w:ind w:right="285"/>
        <w:jc w:val="both"/>
        <w:rPr>
          <w:rFonts w:ascii="Arial" w:eastAsia="Arial" w:hAnsi="Arial" w:cs="Arial"/>
          <w:color w:val="000000"/>
          <w:sz w:val="22"/>
          <w:szCs w:val="22"/>
        </w:rPr>
      </w:pPr>
      <w:r>
        <w:rPr>
          <w:rFonts w:ascii="Arial" w:eastAsia="Arial" w:hAnsi="Arial" w:cs="Arial"/>
          <w:color w:val="000000"/>
          <w:sz w:val="22"/>
          <w:szCs w:val="22"/>
        </w:rPr>
        <w:t xml:space="preserve">In undisputed matters the CRG will provide a Case Report to the Head of Relevant Entity. </w:t>
      </w:r>
    </w:p>
    <w:p w14:paraId="4953A33F" w14:textId="77777777" w:rsidR="00CC3032" w:rsidRDefault="00CC3032" w:rsidP="00CC3032">
      <w:pPr>
        <w:widowControl w:val="0"/>
        <w:numPr>
          <w:ilvl w:val="0"/>
          <w:numId w:val="17"/>
        </w:numPr>
        <w:pBdr>
          <w:top w:val="nil"/>
          <w:left w:val="nil"/>
          <w:bottom w:val="nil"/>
          <w:right w:val="nil"/>
          <w:between w:val="nil"/>
        </w:pBdr>
        <w:tabs>
          <w:tab w:val="left" w:pos="200"/>
        </w:tabs>
        <w:spacing w:before="240" w:after="240" w:line="360" w:lineRule="auto"/>
        <w:ind w:right="285"/>
        <w:jc w:val="both"/>
        <w:rPr>
          <w:rFonts w:ascii="Arial" w:eastAsia="Arial" w:hAnsi="Arial" w:cs="Arial"/>
          <w:color w:val="000000"/>
          <w:sz w:val="22"/>
          <w:szCs w:val="22"/>
        </w:rPr>
      </w:pPr>
      <w:r>
        <w:rPr>
          <w:rFonts w:ascii="Arial" w:eastAsia="Arial" w:hAnsi="Arial" w:cs="Arial"/>
          <w:color w:val="000000"/>
          <w:sz w:val="22"/>
          <w:szCs w:val="22"/>
        </w:rPr>
        <w:t>In disputed matters the Investigator will provide a case report to the CRG.</w:t>
      </w:r>
    </w:p>
    <w:p w14:paraId="28AA7537" w14:textId="77777777" w:rsidR="00CC3032" w:rsidRDefault="00CC3032" w:rsidP="00CC3032">
      <w:pPr>
        <w:widowControl w:val="0"/>
        <w:numPr>
          <w:ilvl w:val="0"/>
          <w:numId w:val="17"/>
        </w:numPr>
        <w:pBdr>
          <w:top w:val="nil"/>
          <w:left w:val="nil"/>
          <w:bottom w:val="nil"/>
          <w:right w:val="nil"/>
          <w:between w:val="nil"/>
        </w:pBdr>
        <w:tabs>
          <w:tab w:val="left" w:pos="200"/>
          <w:tab w:val="left" w:pos="709"/>
        </w:tabs>
        <w:spacing w:before="240" w:after="240" w:line="360" w:lineRule="auto"/>
        <w:ind w:right="285"/>
        <w:jc w:val="both"/>
        <w:rPr>
          <w:rFonts w:ascii="Arial" w:eastAsia="Arial" w:hAnsi="Arial" w:cs="Arial"/>
          <w:color w:val="000000"/>
          <w:sz w:val="22"/>
          <w:szCs w:val="22"/>
        </w:rPr>
      </w:pPr>
      <w:r>
        <w:rPr>
          <w:rFonts w:ascii="Arial" w:eastAsia="Arial" w:hAnsi="Arial" w:cs="Arial"/>
          <w:color w:val="000000"/>
          <w:sz w:val="22"/>
          <w:szCs w:val="22"/>
        </w:rPr>
        <w:t>The CRG will consider the Case Report and make a preliminary finding/s as to whether the PSOA has, on the balance of probabilities, engaged in the alleged behaviours.</w:t>
      </w:r>
    </w:p>
    <w:p w14:paraId="47AB06E6" w14:textId="77777777" w:rsidR="00CC3032" w:rsidRDefault="00CC3032">
      <w:pPr>
        <w:spacing w:after="160" w:line="259" w:lineRule="auto"/>
        <w:rPr>
          <w:rFonts w:ascii="Arial" w:eastAsia="Arial" w:hAnsi="Arial" w:cs="Arial"/>
          <w:color w:val="000000"/>
          <w:sz w:val="22"/>
          <w:szCs w:val="22"/>
        </w:rPr>
      </w:pPr>
      <w:r>
        <w:rPr>
          <w:rFonts w:ascii="Arial" w:eastAsia="Arial" w:hAnsi="Arial" w:cs="Arial"/>
          <w:color w:val="000000"/>
          <w:sz w:val="22"/>
          <w:szCs w:val="22"/>
        </w:rPr>
        <w:br w:type="page"/>
      </w:r>
    </w:p>
    <w:p w14:paraId="2E5F83D7" w14:textId="1C857A21" w:rsidR="00CC3032" w:rsidRDefault="00CC3032" w:rsidP="00CC3032">
      <w:pPr>
        <w:widowControl w:val="0"/>
        <w:numPr>
          <w:ilvl w:val="0"/>
          <w:numId w:val="17"/>
        </w:numPr>
        <w:pBdr>
          <w:top w:val="nil"/>
          <w:left w:val="nil"/>
          <w:bottom w:val="nil"/>
          <w:right w:val="nil"/>
          <w:between w:val="nil"/>
        </w:pBdr>
        <w:tabs>
          <w:tab w:val="left" w:pos="200"/>
          <w:tab w:val="left" w:pos="709"/>
        </w:tabs>
        <w:spacing w:before="240" w:after="240" w:line="360" w:lineRule="auto"/>
        <w:ind w:right="285"/>
        <w:jc w:val="both"/>
        <w:rPr>
          <w:rFonts w:ascii="Arial" w:eastAsia="Arial" w:hAnsi="Arial" w:cs="Arial"/>
          <w:color w:val="000000"/>
          <w:sz w:val="22"/>
          <w:szCs w:val="22"/>
        </w:rPr>
      </w:pPr>
      <w:r>
        <w:rPr>
          <w:rFonts w:ascii="Arial" w:eastAsia="Arial" w:hAnsi="Arial" w:cs="Arial"/>
          <w:color w:val="000000"/>
          <w:sz w:val="22"/>
          <w:szCs w:val="22"/>
        </w:rPr>
        <w:lastRenderedPageBreak/>
        <w:t>If the CRG preliminary determination is that the PSOA may have engaged in misconduct, it will request the PSOA provide a further written response (within 14 days) for consideration before making a final decision.</w:t>
      </w:r>
    </w:p>
    <w:p w14:paraId="2151A62D" w14:textId="77777777" w:rsidR="00CC3032" w:rsidRDefault="00CC3032" w:rsidP="00CC3032">
      <w:pPr>
        <w:widowControl w:val="0"/>
        <w:numPr>
          <w:ilvl w:val="0"/>
          <w:numId w:val="17"/>
        </w:numPr>
        <w:pBdr>
          <w:top w:val="nil"/>
          <w:left w:val="nil"/>
          <w:bottom w:val="nil"/>
          <w:right w:val="nil"/>
          <w:between w:val="nil"/>
        </w:pBdr>
        <w:tabs>
          <w:tab w:val="left" w:pos="200"/>
        </w:tabs>
        <w:spacing w:before="240" w:after="240" w:line="360" w:lineRule="auto"/>
        <w:ind w:right="285"/>
        <w:jc w:val="both"/>
        <w:rPr>
          <w:rFonts w:ascii="Arial" w:eastAsia="Arial" w:hAnsi="Arial" w:cs="Arial"/>
          <w:color w:val="000000"/>
          <w:sz w:val="22"/>
          <w:szCs w:val="22"/>
        </w:rPr>
      </w:pPr>
      <w:r>
        <w:rPr>
          <w:rFonts w:ascii="Arial" w:eastAsia="Arial" w:hAnsi="Arial" w:cs="Arial"/>
          <w:color w:val="000000"/>
          <w:sz w:val="22"/>
          <w:szCs w:val="22"/>
        </w:rPr>
        <w:t xml:space="preserve">Having received the PSOA’s written response, and taking any further investigative measures necessary, the CRG will make their final decisions. </w:t>
      </w:r>
    </w:p>
    <w:p w14:paraId="5460C25F" w14:textId="77777777" w:rsidR="00CC3032" w:rsidRDefault="00CC3032" w:rsidP="00CC3032">
      <w:pPr>
        <w:widowControl w:val="0"/>
        <w:numPr>
          <w:ilvl w:val="0"/>
          <w:numId w:val="17"/>
        </w:numPr>
        <w:pBdr>
          <w:top w:val="nil"/>
          <w:left w:val="nil"/>
          <w:bottom w:val="nil"/>
          <w:right w:val="nil"/>
          <w:between w:val="nil"/>
        </w:pBdr>
        <w:tabs>
          <w:tab w:val="left" w:pos="200"/>
          <w:tab w:val="left" w:pos="709"/>
        </w:tabs>
        <w:spacing w:before="240" w:after="240" w:line="360" w:lineRule="auto"/>
        <w:ind w:right="285"/>
        <w:jc w:val="both"/>
        <w:rPr>
          <w:rFonts w:ascii="Arial" w:eastAsia="Arial" w:hAnsi="Arial" w:cs="Arial"/>
          <w:color w:val="000000"/>
          <w:sz w:val="22"/>
          <w:szCs w:val="22"/>
        </w:rPr>
      </w:pPr>
      <w:r>
        <w:rPr>
          <w:rFonts w:ascii="Arial" w:eastAsia="Arial" w:hAnsi="Arial" w:cs="Arial"/>
          <w:color w:val="000000"/>
          <w:sz w:val="22"/>
          <w:szCs w:val="22"/>
        </w:rPr>
        <w:t xml:space="preserve">The decision of the CRG, including reasons for the decisions, i.e. the facts, and any mitigating circumstances will be provided to the Head of the Relevant Entity. </w:t>
      </w:r>
      <w:r>
        <w:rPr>
          <w:rFonts w:ascii="Arial" w:eastAsia="Arial" w:hAnsi="Arial" w:cs="Arial"/>
          <w:color w:val="000000"/>
          <w:sz w:val="22"/>
          <w:szCs w:val="22"/>
        </w:rPr>
        <w:br/>
        <w:t xml:space="preserve">The CRG may provide the Head of Entity with recommendations as to outcomes for all </w:t>
      </w:r>
      <w:proofErr w:type="gramStart"/>
      <w:r>
        <w:rPr>
          <w:rFonts w:ascii="Arial" w:eastAsia="Arial" w:hAnsi="Arial" w:cs="Arial"/>
          <w:color w:val="000000"/>
          <w:sz w:val="22"/>
          <w:szCs w:val="22"/>
        </w:rPr>
        <w:t>parties, but</w:t>
      </w:r>
      <w:proofErr w:type="gramEnd"/>
      <w:r>
        <w:rPr>
          <w:rFonts w:ascii="Arial" w:eastAsia="Arial" w:hAnsi="Arial" w:cs="Arial"/>
          <w:color w:val="000000"/>
          <w:sz w:val="22"/>
          <w:szCs w:val="22"/>
        </w:rPr>
        <w:t xml:space="preserve"> shall not make the determination or carry out the outcomes.  Recommendations provided by the CRG must be appropriate given all the known circumstances of the case.</w:t>
      </w:r>
    </w:p>
    <w:p w14:paraId="1F0D8EEE" w14:textId="77777777" w:rsidR="00CC3032" w:rsidRDefault="00CC3032" w:rsidP="00CC3032">
      <w:pPr>
        <w:widowControl w:val="0"/>
        <w:pBdr>
          <w:top w:val="nil"/>
          <w:left w:val="nil"/>
          <w:bottom w:val="nil"/>
          <w:right w:val="nil"/>
          <w:between w:val="nil"/>
        </w:pBdr>
        <w:tabs>
          <w:tab w:val="left" w:pos="200"/>
        </w:tabs>
        <w:spacing w:before="240" w:after="240" w:line="360" w:lineRule="auto"/>
        <w:ind w:right="285"/>
        <w:jc w:val="both"/>
        <w:rPr>
          <w:rFonts w:ascii="Arial" w:eastAsia="Arial" w:hAnsi="Arial" w:cs="Arial"/>
          <w:b/>
          <w:color w:val="000000"/>
          <w:sz w:val="22"/>
          <w:szCs w:val="22"/>
        </w:rPr>
      </w:pPr>
      <w:r>
        <w:rPr>
          <w:rFonts w:ascii="Arial" w:eastAsia="Arial" w:hAnsi="Arial" w:cs="Arial"/>
          <w:b/>
          <w:color w:val="000000"/>
          <w:sz w:val="22"/>
          <w:szCs w:val="22"/>
        </w:rPr>
        <w:t xml:space="preserve">7. </w:t>
      </w:r>
      <w:r>
        <w:rPr>
          <w:rFonts w:ascii="Arial" w:eastAsia="Arial" w:hAnsi="Arial" w:cs="Arial"/>
          <w:b/>
          <w:color w:val="000000"/>
          <w:sz w:val="22"/>
          <w:szCs w:val="22"/>
        </w:rPr>
        <w:tab/>
        <w:t>Determination &amp; outcomes</w:t>
      </w:r>
    </w:p>
    <w:p w14:paraId="663100D3" w14:textId="77777777" w:rsidR="00CC3032" w:rsidRDefault="00CC3032" w:rsidP="00CC3032">
      <w:pPr>
        <w:widowControl w:val="0"/>
        <w:pBdr>
          <w:top w:val="nil"/>
          <w:left w:val="nil"/>
          <w:bottom w:val="nil"/>
          <w:right w:val="nil"/>
          <w:between w:val="nil"/>
        </w:pBdr>
        <w:tabs>
          <w:tab w:val="left" w:pos="200"/>
        </w:tabs>
        <w:spacing w:before="240" w:after="240" w:line="360" w:lineRule="auto"/>
        <w:ind w:left="720" w:right="285"/>
        <w:jc w:val="both"/>
        <w:rPr>
          <w:rFonts w:ascii="Arial" w:eastAsia="Arial" w:hAnsi="Arial" w:cs="Arial"/>
          <w:color w:val="000000"/>
          <w:sz w:val="22"/>
          <w:szCs w:val="22"/>
        </w:rPr>
      </w:pPr>
      <w:r>
        <w:rPr>
          <w:rFonts w:ascii="Arial" w:eastAsia="Arial" w:hAnsi="Arial" w:cs="Arial"/>
          <w:color w:val="000000"/>
          <w:sz w:val="22"/>
          <w:szCs w:val="22"/>
        </w:rPr>
        <w:t xml:space="preserve">The Head of the Relevant Entity will take into consideration the findings of the CRG and then make determinations in relation to outcomes of the PSOA and any parties impacted by the determination, including any survivors of abuse, and other secondarily impacted persons.  </w:t>
      </w:r>
    </w:p>
    <w:p w14:paraId="00F9799F" w14:textId="77777777" w:rsidR="00CC3032" w:rsidRDefault="00CC3032" w:rsidP="00CC3032">
      <w:pPr>
        <w:widowControl w:val="0"/>
        <w:pBdr>
          <w:top w:val="nil"/>
          <w:left w:val="nil"/>
          <w:bottom w:val="nil"/>
          <w:right w:val="nil"/>
          <w:between w:val="nil"/>
        </w:pBdr>
        <w:tabs>
          <w:tab w:val="left" w:pos="200"/>
        </w:tabs>
        <w:spacing w:before="240" w:after="240" w:line="360" w:lineRule="auto"/>
        <w:ind w:left="200" w:right="285"/>
        <w:jc w:val="both"/>
        <w:rPr>
          <w:rFonts w:ascii="Arial" w:eastAsia="Arial" w:hAnsi="Arial" w:cs="Arial"/>
          <w:b/>
          <w:color w:val="000000"/>
          <w:sz w:val="22"/>
          <w:szCs w:val="22"/>
        </w:rPr>
      </w:pPr>
      <w:r>
        <w:rPr>
          <w:rFonts w:ascii="Arial" w:eastAsia="Arial" w:hAnsi="Arial" w:cs="Arial"/>
          <w:b/>
          <w:color w:val="000000"/>
          <w:sz w:val="22"/>
          <w:szCs w:val="22"/>
        </w:rPr>
        <w:tab/>
        <w:t xml:space="preserve">Outcomes for PSOA </w:t>
      </w:r>
    </w:p>
    <w:p w14:paraId="7DBB6980" w14:textId="77777777" w:rsidR="00CC3032" w:rsidRDefault="00CC3032" w:rsidP="00CC3032">
      <w:pPr>
        <w:widowControl w:val="0"/>
        <w:numPr>
          <w:ilvl w:val="0"/>
          <w:numId w:val="16"/>
        </w:numPr>
        <w:pBdr>
          <w:top w:val="nil"/>
          <w:left w:val="nil"/>
          <w:bottom w:val="nil"/>
          <w:right w:val="nil"/>
          <w:between w:val="nil"/>
        </w:pBdr>
        <w:tabs>
          <w:tab w:val="left" w:pos="200"/>
        </w:tabs>
        <w:spacing w:before="240" w:after="240" w:line="360" w:lineRule="auto"/>
        <w:ind w:right="285"/>
        <w:jc w:val="both"/>
        <w:rPr>
          <w:rFonts w:ascii="Arial" w:eastAsia="Arial" w:hAnsi="Arial" w:cs="Arial"/>
          <w:color w:val="000000"/>
          <w:sz w:val="22"/>
          <w:szCs w:val="22"/>
        </w:rPr>
      </w:pPr>
      <w:r>
        <w:rPr>
          <w:rFonts w:ascii="Arial" w:eastAsia="Arial" w:hAnsi="Arial" w:cs="Arial"/>
          <w:color w:val="000000"/>
          <w:sz w:val="22"/>
          <w:szCs w:val="22"/>
        </w:rPr>
        <w:t xml:space="preserve">Where the CRG finds that PSOA has not engaged in the alleged conduct, or that there is not enough evidence to make a finding, there is to be a full apology to the PSOA. </w:t>
      </w:r>
    </w:p>
    <w:p w14:paraId="19CB622B" w14:textId="77777777" w:rsidR="00CC3032" w:rsidRDefault="00CC3032" w:rsidP="00CC3032">
      <w:pPr>
        <w:widowControl w:val="0"/>
        <w:numPr>
          <w:ilvl w:val="0"/>
          <w:numId w:val="16"/>
        </w:numPr>
        <w:pBdr>
          <w:top w:val="nil"/>
          <w:left w:val="nil"/>
          <w:bottom w:val="nil"/>
          <w:right w:val="nil"/>
          <w:between w:val="nil"/>
        </w:pBdr>
        <w:tabs>
          <w:tab w:val="left" w:pos="200"/>
        </w:tabs>
        <w:spacing w:before="240" w:after="240" w:line="360" w:lineRule="auto"/>
        <w:ind w:right="285"/>
        <w:jc w:val="both"/>
        <w:rPr>
          <w:rFonts w:ascii="Arial" w:eastAsia="Arial" w:hAnsi="Arial" w:cs="Arial"/>
          <w:color w:val="000000"/>
          <w:sz w:val="22"/>
          <w:szCs w:val="22"/>
        </w:rPr>
      </w:pPr>
      <w:r>
        <w:rPr>
          <w:rFonts w:ascii="Arial" w:eastAsia="Arial" w:hAnsi="Arial" w:cs="Arial"/>
          <w:color w:val="000000"/>
          <w:sz w:val="22"/>
          <w:szCs w:val="22"/>
        </w:rPr>
        <w:t xml:space="preserve">Where the CRG finds that although the allegations were not proved on the balance of probabilities but that the PSOA acted in ways that were misconstrued or places him/herself in a position of high risk, then recommendations will be made to the PSOA as to how he/she can avoid future allegations.  </w:t>
      </w:r>
    </w:p>
    <w:p w14:paraId="2A81C4A5" w14:textId="77777777" w:rsidR="00CC3032" w:rsidRDefault="00CC3032" w:rsidP="00CC3032">
      <w:pPr>
        <w:widowControl w:val="0"/>
        <w:numPr>
          <w:ilvl w:val="0"/>
          <w:numId w:val="16"/>
        </w:numPr>
        <w:pBdr>
          <w:top w:val="nil"/>
          <w:left w:val="nil"/>
          <w:bottom w:val="nil"/>
          <w:right w:val="nil"/>
          <w:between w:val="nil"/>
        </w:pBdr>
        <w:tabs>
          <w:tab w:val="left" w:pos="200"/>
        </w:tabs>
        <w:spacing w:before="240" w:after="240" w:line="360" w:lineRule="auto"/>
        <w:ind w:right="285"/>
        <w:jc w:val="both"/>
        <w:rPr>
          <w:rFonts w:ascii="Arial" w:eastAsia="Arial" w:hAnsi="Arial" w:cs="Arial"/>
          <w:color w:val="000000"/>
          <w:sz w:val="22"/>
          <w:szCs w:val="22"/>
        </w:rPr>
      </w:pPr>
      <w:r>
        <w:rPr>
          <w:rFonts w:ascii="Arial" w:eastAsia="Arial" w:hAnsi="Arial" w:cs="Arial"/>
          <w:color w:val="000000"/>
          <w:sz w:val="22"/>
          <w:szCs w:val="22"/>
        </w:rPr>
        <w:t>Where the CRG finds that the PSOA engaged in the alleged behaviour, it will consider possible action that might be taken in response to the breach. Actions which might be taken include; re-training, discipline, suspension, dismissal.</w:t>
      </w:r>
      <w:r>
        <w:rPr>
          <w:rFonts w:ascii="Arial" w:eastAsia="Arial" w:hAnsi="Arial" w:cs="Arial"/>
          <w:b/>
          <w:color w:val="000000"/>
          <w:sz w:val="22"/>
          <w:szCs w:val="22"/>
        </w:rPr>
        <w:tab/>
      </w:r>
    </w:p>
    <w:p w14:paraId="0535E9CA" w14:textId="77777777" w:rsidR="00CC3032" w:rsidRDefault="00CC3032" w:rsidP="00CC3032">
      <w:pPr>
        <w:widowControl w:val="0"/>
        <w:pBdr>
          <w:top w:val="nil"/>
          <w:left w:val="nil"/>
          <w:bottom w:val="nil"/>
          <w:right w:val="nil"/>
          <w:between w:val="nil"/>
        </w:pBdr>
        <w:tabs>
          <w:tab w:val="left" w:pos="200"/>
        </w:tabs>
        <w:spacing w:before="240" w:after="240" w:line="360" w:lineRule="auto"/>
        <w:ind w:left="200" w:right="285"/>
        <w:jc w:val="both"/>
        <w:rPr>
          <w:rFonts w:ascii="Arial" w:eastAsia="Arial" w:hAnsi="Arial" w:cs="Arial"/>
          <w:b/>
          <w:color w:val="000000"/>
          <w:sz w:val="22"/>
          <w:szCs w:val="22"/>
        </w:rPr>
      </w:pPr>
      <w:r>
        <w:rPr>
          <w:rFonts w:ascii="Arial" w:eastAsia="Arial" w:hAnsi="Arial" w:cs="Arial"/>
          <w:b/>
          <w:color w:val="000000"/>
          <w:sz w:val="22"/>
          <w:szCs w:val="22"/>
        </w:rPr>
        <w:tab/>
      </w:r>
    </w:p>
    <w:p w14:paraId="144685DE" w14:textId="77777777" w:rsidR="00CC3032" w:rsidRDefault="00CC3032">
      <w:pPr>
        <w:spacing w:after="160" w:line="259" w:lineRule="auto"/>
        <w:rPr>
          <w:rFonts w:ascii="Arial" w:eastAsia="Arial" w:hAnsi="Arial" w:cs="Arial"/>
          <w:b/>
          <w:color w:val="000000"/>
          <w:sz w:val="22"/>
          <w:szCs w:val="22"/>
        </w:rPr>
      </w:pPr>
      <w:r>
        <w:rPr>
          <w:rFonts w:ascii="Arial" w:eastAsia="Arial" w:hAnsi="Arial" w:cs="Arial"/>
          <w:b/>
          <w:color w:val="000000"/>
          <w:sz w:val="22"/>
          <w:szCs w:val="22"/>
        </w:rPr>
        <w:br w:type="page"/>
      </w:r>
    </w:p>
    <w:p w14:paraId="4F61AA2F" w14:textId="005692B3" w:rsidR="00CC3032" w:rsidRDefault="00CC3032" w:rsidP="00CC3032">
      <w:pPr>
        <w:widowControl w:val="0"/>
        <w:pBdr>
          <w:top w:val="nil"/>
          <w:left w:val="nil"/>
          <w:bottom w:val="nil"/>
          <w:right w:val="nil"/>
          <w:between w:val="nil"/>
        </w:pBdr>
        <w:tabs>
          <w:tab w:val="left" w:pos="200"/>
        </w:tabs>
        <w:spacing w:before="240" w:after="240" w:line="360" w:lineRule="auto"/>
        <w:ind w:left="200" w:right="285"/>
        <w:jc w:val="both"/>
        <w:rPr>
          <w:rFonts w:ascii="Arial" w:eastAsia="Arial" w:hAnsi="Arial" w:cs="Arial"/>
          <w:b/>
          <w:color w:val="000000"/>
          <w:sz w:val="22"/>
          <w:szCs w:val="22"/>
        </w:rPr>
      </w:pPr>
      <w:r>
        <w:rPr>
          <w:rFonts w:ascii="Arial" w:eastAsia="Arial" w:hAnsi="Arial" w:cs="Arial"/>
          <w:b/>
          <w:color w:val="000000"/>
          <w:sz w:val="22"/>
          <w:szCs w:val="22"/>
        </w:rPr>
        <w:lastRenderedPageBreak/>
        <w:t>Outcomes relating to the person/s bringing allegations and other parties</w:t>
      </w:r>
    </w:p>
    <w:p w14:paraId="70CAA869" w14:textId="77777777" w:rsidR="00CC3032" w:rsidRDefault="00CC3032" w:rsidP="00CC3032">
      <w:pPr>
        <w:widowControl w:val="0"/>
        <w:pBdr>
          <w:top w:val="nil"/>
          <w:left w:val="nil"/>
          <w:bottom w:val="nil"/>
          <w:right w:val="nil"/>
          <w:between w:val="nil"/>
        </w:pBdr>
        <w:tabs>
          <w:tab w:val="left" w:pos="200"/>
        </w:tabs>
        <w:spacing w:before="240" w:after="240" w:line="360" w:lineRule="auto"/>
        <w:ind w:left="1276" w:right="285" w:hanging="567"/>
        <w:jc w:val="both"/>
        <w:rPr>
          <w:rFonts w:ascii="Arial" w:eastAsia="Arial" w:hAnsi="Arial" w:cs="Arial"/>
          <w:color w:val="000000"/>
          <w:sz w:val="22"/>
          <w:szCs w:val="22"/>
        </w:rPr>
      </w:pPr>
      <w:r>
        <w:rPr>
          <w:rFonts w:ascii="Arial" w:eastAsia="Arial" w:hAnsi="Arial" w:cs="Arial"/>
          <w:color w:val="000000"/>
          <w:sz w:val="22"/>
          <w:szCs w:val="22"/>
        </w:rPr>
        <w:t>a.</w:t>
      </w:r>
      <w:r>
        <w:rPr>
          <w:rFonts w:ascii="Arial" w:eastAsia="Arial" w:hAnsi="Arial" w:cs="Arial"/>
          <w:color w:val="000000"/>
          <w:sz w:val="22"/>
          <w:szCs w:val="22"/>
        </w:rPr>
        <w:tab/>
        <w:t xml:space="preserve">In the event that the CRG are satisfied of the truth of the complaint, and/or where there is significant emotional damage to the complainant, the appropriate office holders shall respond to the needs of the victim in such ways as are demanded by justice and compassion. </w:t>
      </w:r>
    </w:p>
    <w:p w14:paraId="29ABAE18" w14:textId="77777777" w:rsidR="00CC3032" w:rsidRDefault="00CC3032" w:rsidP="00CC3032">
      <w:pPr>
        <w:widowControl w:val="0"/>
        <w:pBdr>
          <w:top w:val="nil"/>
          <w:left w:val="nil"/>
          <w:bottom w:val="nil"/>
          <w:right w:val="nil"/>
          <w:between w:val="nil"/>
        </w:pBdr>
        <w:tabs>
          <w:tab w:val="left" w:pos="200"/>
        </w:tabs>
        <w:spacing w:before="240" w:after="240" w:line="360" w:lineRule="auto"/>
        <w:ind w:right="285"/>
        <w:jc w:val="both"/>
        <w:rPr>
          <w:rFonts w:ascii="Arial" w:eastAsia="Arial" w:hAnsi="Arial" w:cs="Arial"/>
          <w:b/>
          <w:color w:val="000000"/>
          <w:sz w:val="22"/>
          <w:szCs w:val="22"/>
        </w:rPr>
      </w:pPr>
      <w:r>
        <w:rPr>
          <w:rFonts w:ascii="Arial" w:eastAsia="Arial" w:hAnsi="Arial" w:cs="Arial"/>
          <w:b/>
          <w:color w:val="000000"/>
          <w:sz w:val="22"/>
          <w:szCs w:val="22"/>
        </w:rPr>
        <w:t xml:space="preserve">8.  </w:t>
      </w:r>
      <w:r>
        <w:rPr>
          <w:rFonts w:ascii="Arial" w:eastAsia="Arial" w:hAnsi="Arial" w:cs="Arial"/>
          <w:b/>
          <w:color w:val="000000"/>
          <w:sz w:val="22"/>
          <w:szCs w:val="22"/>
        </w:rPr>
        <w:tab/>
        <w:t>Right of Appeal</w:t>
      </w:r>
    </w:p>
    <w:p w14:paraId="3A42A290" w14:textId="77777777" w:rsidR="00CC3032" w:rsidRDefault="00CC3032" w:rsidP="00CC3032">
      <w:pPr>
        <w:widowControl w:val="0"/>
        <w:numPr>
          <w:ilvl w:val="0"/>
          <w:numId w:val="18"/>
        </w:numPr>
        <w:pBdr>
          <w:top w:val="nil"/>
          <w:left w:val="nil"/>
          <w:bottom w:val="nil"/>
          <w:right w:val="nil"/>
          <w:between w:val="nil"/>
        </w:pBdr>
        <w:tabs>
          <w:tab w:val="left" w:pos="200"/>
        </w:tabs>
        <w:spacing w:before="240" w:after="240" w:line="360" w:lineRule="auto"/>
        <w:ind w:right="285"/>
        <w:jc w:val="both"/>
        <w:rPr>
          <w:rFonts w:ascii="Arial" w:eastAsia="Arial" w:hAnsi="Arial" w:cs="Arial"/>
          <w:color w:val="000000"/>
          <w:sz w:val="22"/>
          <w:szCs w:val="22"/>
        </w:rPr>
      </w:pPr>
      <w:r>
        <w:rPr>
          <w:rFonts w:ascii="Arial" w:eastAsia="Arial" w:hAnsi="Arial" w:cs="Arial"/>
          <w:color w:val="000000"/>
          <w:sz w:val="22"/>
          <w:szCs w:val="22"/>
        </w:rPr>
        <w:t xml:space="preserve">Where the PSOA is a paid employee, the PSOA may lodge an appeal, providing reasons in writing to the Head of the Relevant Entity. The appeal will be a paper review of the procedure by a </w:t>
      </w:r>
      <w:proofErr w:type="gramStart"/>
      <w:r>
        <w:rPr>
          <w:rFonts w:ascii="Arial" w:eastAsia="Arial" w:hAnsi="Arial" w:cs="Arial"/>
          <w:color w:val="000000"/>
          <w:sz w:val="22"/>
          <w:szCs w:val="22"/>
        </w:rPr>
        <w:t>suitably-qualified</w:t>
      </w:r>
      <w:proofErr w:type="gramEnd"/>
      <w:r>
        <w:rPr>
          <w:rFonts w:ascii="Arial" w:eastAsia="Arial" w:hAnsi="Arial" w:cs="Arial"/>
          <w:color w:val="000000"/>
          <w:sz w:val="22"/>
          <w:szCs w:val="22"/>
        </w:rPr>
        <w:t xml:space="preserve"> person. The decision of the Head of the Relevant Entity will be final.</w:t>
      </w:r>
    </w:p>
    <w:p w14:paraId="5E8EE4FF" w14:textId="77777777" w:rsidR="0098178F" w:rsidRDefault="0098178F" w:rsidP="0098178F">
      <w:pPr>
        <w:pStyle w:val="SubSubSubHeadings"/>
        <w:spacing w:before="240" w:after="240" w:line="360" w:lineRule="auto"/>
        <w:ind w:left="644" w:right="285"/>
        <w:jc w:val="both"/>
        <w:rPr>
          <w:rFonts w:ascii="Arial" w:hAnsi="Arial" w:cs="Arial"/>
          <w:b w:val="0"/>
          <w:bCs w:val="0"/>
          <w:caps w:val="0"/>
          <w:sz w:val="22"/>
          <w:szCs w:val="22"/>
        </w:rPr>
      </w:pPr>
    </w:p>
    <w:p w14:paraId="4E7B18BB" w14:textId="77777777" w:rsidR="00CC3032" w:rsidRDefault="00CC3032" w:rsidP="0098178F">
      <w:pPr>
        <w:pStyle w:val="m5812761834447921217msofooter"/>
        <w:spacing w:before="0" w:beforeAutospacing="0" w:after="0" w:afterAutospacing="0"/>
        <w:rPr>
          <w:rFonts w:ascii="Calibri" w:hAnsi="Calibri"/>
          <w:color w:val="222222"/>
          <w:sz w:val="20"/>
          <w:szCs w:val="20"/>
          <w:lang w:val="en-US"/>
        </w:rPr>
      </w:pPr>
    </w:p>
    <w:p w14:paraId="7047C670" w14:textId="77777777" w:rsidR="00CC3032" w:rsidRDefault="00CC3032" w:rsidP="0098178F">
      <w:pPr>
        <w:pStyle w:val="m5812761834447921217msofooter"/>
        <w:spacing w:before="0" w:beforeAutospacing="0" w:after="0" w:afterAutospacing="0"/>
        <w:rPr>
          <w:rFonts w:ascii="Calibri" w:hAnsi="Calibri"/>
          <w:color w:val="222222"/>
          <w:sz w:val="20"/>
          <w:szCs w:val="20"/>
          <w:lang w:val="en-US"/>
        </w:rPr>
      </w:pPr>
    </w:p>
    <w:p w14:paraId="3D3F5CEC" w14:textId="77777777" w:rsidR="00CC3032" w:rsidRDefault="00CC3032" w:rsidP="0098178F">
      <w:pPr>
        <w:pStyle w:val="m5812761834447921217msofooter"/>
        <w:spacing w:before="0" w:beforeAutospacing="0" w:after="0" w:afterAutospacing="0"/>
        <w:rPr>
          <w:rFonts w:ascii="Calibri" w:hAnsi="Calibri"/>
          <w:color w:val="222222"/>
          <w:sz w:val="20"/>
          <w:szCs w:val="20"/>
          <w:lang w:val="en-US"/>
        </w:rPr>
      </w:pPr>
    </w:p>
    <w:p w14:paraId="2470BC1A" w14:textId="77777777" w:rsidR="00CC3032" w:rsidRDefault="00CC3032" w:rsidP="0098178F">
      <w:pPr>
        <w:pStyle w:val="m5812761834447921217msofooter"/>
        <w:spacing w:before="0" w:beforeAutospacing="0" w:after="0" w:afterAutospacing="0"/>
        <w:rPr>
          <w:rFonts w:ascii="Calibri" w:hAnsi="Calibri"/>
          <w:color w:val="222222"/>
          <w:sz w:val="20"/>
          <w:szCs w:val="20"/>
          <w:lang w:val="en-US"/>
        </w:rPr>
      </w:pPr>
    </w:p>
    <w:p w14:paraId="07B7229E" w14:textId="77777777" w:rsidR="00CC3032" w:rsidRDefault="00CC3032" w:rsidP="0098178F">
      <w:pPr>
        <w:pStyle w:val="m5812761834447921217msofooter"/>
        <w:spacing w:before="0" w:beforeAutospacing="0" w:after="0" w:afterAutospacing="0"/>
        <w:rPr>
          <w:rFonts w:ascii="Calibri" w:hAnsi="Calibri"/>
          <w:color w:val="222222"/>
          <w:sz w:val="20"/>
          <w:szCs w:val="20"/>
          <w:lang w:val="en-US"/>
        </w:rPr>
      </w:pPr>
    </w:p>
    <w:p w14:paraId="7F8309CB" w14:textId="77777777" w:rsidR="00CC3032" w:rsidRDefault="00CC3032" w:rsidP="0098178F">
      <w:pPr>
        <w:pStyle w:val="m5812761834447921217msofooter"/>
        <w:spacing w:before="0" w:beforeAutospacing="0" w:after="0" w:afterAutospacing="0"/>
        <w:rPr>
          <w:rFonts w:ascii="Calibri" w:hAnsi="Calibri"/>
          <w:color w:val="222222"/>
          <w:sz w:val="20"/>
          <w:szCs w:val="20"/>
          <w:lang w:val="en-US"/>
        </w:rPr>
      </w:pPr>
    </w:p>
    <w:p w14:paraId="7C52239D" w14:textId="77777777" w:rsidR="00CC3032" w:rsidRDefault="00CC3032" w:rsidP="0098178F">
      <w:pPr>
        <w:pStyle w:val="m5812761834447921217msofooter"/>
        <w:spacing w:before="0" w:beforeAutospacing="0" w:after="0" w:afterAutospacing="0"/>
        <w:rPr>
          <w:rFonts w:ascii="Calibri" w:hAnsi="Calibri"/>
          <w:color w:val="222222"/>
          <w:sz w:val="20"/>
          <w:szCs w:val="20"/>
          <w:lang w:val="en-US"/>
        </w:rPr>
      </w:pPr>
    </w:p>
    <w:p w14:paraId="3EB13364" w14:textId="77777777" w:rsidR="00CC3032" w:rsidRDefault="00CC3032" w:rsidP="0098178F">
      <w:pPr>
        <w:pStyle w:val="m5812761834447921217msofooter"/>
        <w:spacing w:before="0" w:beforeAutospacing="0" w:after="0" w:afterAutospacing="0"/>
        <w:rPr>
          <w:rFonts w:ascii="Calibri" w:hAnsi="Calibri"/>
          <w:color w:val="222222"/>
          <w:sz w:val="20"/>
          <w:szCs w:val="20"/>
          <w:lang w:val="en-US"/>
        </w:rPr>
      </w:pPr>
    </w:p>
    <w:p w14:paraId="2D9119BF" w14:textId="77777777" w:rsidR="00CC3032" w:rsidRDefault="00CC3032" w:rsidP="0098178F">
      <w:pPr>
        <w:pStyle w:val="m5812761834447921217msofooter"/>
        <w:spacing w:before="0" w:beforeAutospacing="0" w:after="0" w:afterAutospacing="0"/>
        <w:rPr>
          <w:rFonts w:ascii="Calibri" w:hAnsi="Calibri"/>
          <w:color w:val="222222"/>
          <w:sz w:val="20"/>
          <w:szCs w:val="20"/>
          <w:lang w:val="en-US"/>
        </w:rPr>
      </w:pPr>
    </w:p>
    <w:p w14:paraId="29AA105B" w14:textId="77777777" w:rsidR="00CC3032" w:rsidRDefault="00CC3032" w:rsidP="0098178F">
      <w:pPr>
        <w:pStyle w:val="m5812761834447921217msofooter"/>
        <w:spacing w:before="0" w:beforeAutospacing="0" w:after="0" w:afterAutospacing="0"/>
        <w:rPr>
          <w:rFonts w:ascii="Calibri" w:hAnsi="Calibri"/>
          <w:color w:val="222222"/>
          <w:sz w:val="20"/>
          <w:szCs w:val="20"/>
          <w:lang w:val="en-US"/>
        </w:rPr>
      </w:pPr>
    </w:p>
    <w:p w14:paraId="11D59B8C" w14:textId="77777777" w:rsidR="00CC3032" w:rsidRDefault="00CC3032" w:rsidP="0098178F">
      <w:pPr>
        <w:pStyle w:val="m5812761834447921217msofooter"/>
        <w:spacing w:before="0" w:beforeAutospacing="0" w:after="0" w:afterAutospacing="0"/>
        <w:rPr>
          <w:rFonts w:ascii="Calibri" w:hAnsi="Calibri"/>
          <w:color w:val="222222"/>
          <w:sz w:val="20"/>
          <w:szCs w:val="20"/>
          <w:lang w:val="en-US"/>
        </w:rPr>
      </w:pPr>
    </w:p>
    <w:p w14:paraId="4FF096AC" w14:textId="77777777" w:rsidR="00CC3032" w:rsidRDefault="00CC3032" w:rsidP="0098178F">
      <w:pPr>
        <w:pStyle w:val="m5812761834447921217msofooter"/>
        <w:spacing w:before="0" w:beforeAutospacing="0" w:after="0" w:afterAutospacing="0"/>
        <w:rPr>
          <w:rFonts w:ascii="Calibri" w:hAnsi="Calibri"/>
          <w:color w:val="222222"/>
          <w:sz w:val="20"/>
          <w:szCs w:val="20"/>
          <w:lang w:val="en-US"/>
        </w:rPr>
      </w:pPr>
    </w:p>
    <w:p w14:paraId="005CE9A4" w14:textId="77777777" w:rsidR="00CC3032" w:rsidRDefault="00CC3032" w:rsidP="0098178F">
      <w:pPr>
        <w:pStyle w:val="m5812761834447921217msofooter"/>
        <w:spacing w:before="0" w:beforeAutospacing="0" w:after="0" w:afterAutospacing="0"/>
        <w:rPr>
          <w:rFonts w:ascii="Calibri" w:hAnsi="Calibri"/>
          <w:color w:val="222222"/>
          <w:sz w:val="20"/>
          <w:szCs w:val="20"/>
          <w:lang w:val="en-US"/>
        </w:rPr>
      </w:pPr>
    </w:p>
    <w:p w14:paraId="35304863" w14:textId="77777777" w:rsidR="00CC3032" w:rsidRDefault="00CC3032" w:rsidP="0098178F">
      <w:pPr>
        <w:pStyle w:val="m5812761834447921217msofooter"/>
        <w:spacing w:before="0" w:beforeAutospacing="0" w:after="0" w:afterAutospacing="0"/>
        <w:rPr>
          <w:rFonts w:ascii="Calibri" w:hAnsi="Calibri"/>
          <w:color w:val="222222"/>
          <w:sz w:val="20"/>
          <w:szCs w:val="20"/>
          <w:lang w:val="en-US"/>
        </w:rPr>
      </w:pPr>
    </w:p>
    <w:p w14:paraId="2C33DE5A" w14:textId="77777777" w:rsidR="00CC3032" w:rsidRDefault="00CC3032" w:rsidP="0098178F">
      <w:pPr>
        <w:pStyle w:val="m5812761834447921217msofooter"/>
        <w:spacing w:before="0" w:beforeAutospacing="0" w:after="0" w:afterAutospacing="0"/>
        <w:rPr>
          <w:rFonts w:ascii="Calibri" w:hAnsi="Calibri"/>
          <w:color w:val="222222"/>
          <w:sz w:val="20"/>
          <w:szCs w:val="20"/>
          <w:lang w:val="en-US"/>
        </w:rPr>
      </w:pPr>
    </w:p>
    <w:p w14:paraId="7AB33C6E" w14:textId="77777777" w:rsidR="00CC3032" w:rsidRDefault="00CC3032" w:rsidP="0098178F">
      <w:pPr>
        <w:pStyle w:val="m5812761834447921217msofooter"/>
        <w:spacing w:before="0" w:beforeAutospacing="0" w:after="0" w:afterAutospacing="0"/>
        <w:rPr>
          <w:rFonts w:ascii="Calibri" w:hAnsi="Calibri"/>
          <w:color w:val="222222"/>
          <w:sz w:val="20"/>
          <w:szCs w:val="20"/>
          <w:lang w:val="en-US"/>
        </w:rPr>
      </w:pPr>
    </w:p>
    <w:p w14:paraId="42822D14" w14:textId="77777777" w:rsidR="00CC3032" w:rsidRDefault="00CC3032" w:rsidP="0098178F">
      <w:pPr>
        <w:pStyle w:val="m5812761834447921217msofooter"/>
        <w:spacing w:before="0" w:beforeAutospacing="0" w:after="0" w:afterAutospacing="0"/>
        <w:rPr>
          <w:rFonts w:ascii="Calibri" w:hAnsi="Calibri"/>
          <w:color w:val="222222"/>
          <w:sz w:val="20"/>
          <w:szCs w:val="20"/>
          <w:lang w:val="en-US"/>
        </w:rPr>
      </w:pPr>
    </w:p>
    <w:p w14:paraId="2F0FB7A6" w14:textId="77777777" w:rsidR="00CC3032" w:rsidRDefault="00CC3032" w:rsidP="0098178F">
      <w:pPr>
        <w:pStyle w:val="m5812761834447921217msofooter"/>
        <w:spacing w:before="0" w:beforeAutospacing="0" w:after="0" w:afterAutospacing="0"/>
        <w:rPr>
          <w:rFonts w:ascii="Calibri" w:hAnsi="Calibri"/>
          <w:color w:val="222222"/>
          <w:sz w:val="20"/>
          <w:szCs w:val="20"/>
          <w:lang w:val="en-US"/>
        </w:rPr>
      </w:pPr>
    </w:p>
    <w:p w14:paraId="247924C9" w14:textId="77777777" w:rsidR="00CC3032" w:rsidRDefault="00CC3032" w:rsidP="0098178F">
      <w:pPr>
        <w:pStyle w:val="m5812761834447921217msofooter"/>
        <w:spacing w:before="0" w:beforeAutospacing="0" w:after="0" w:afterAutospacing="0"/>
        <w:rPr>
          <w:rFonts w:ascii="Calibri" w:hAnsi="Calibri"/>
          <w:color w:val="222222"/>
          <w:sz w:val="20"/>
          <w:szCs w:val="20"/>
          <w:lang w:val="en-US"/>
        </w:rPr>
      </w:pPr>
    </w:p>
    <w:p w14:paraId="442980B2" w14:textId="77777777" w:rsidR="00CC3032" w:rsidRDefault="00CC3032" w:rsidP="0098178F">
      <w:pPr>
        <w:pStyle w:val="m5812761834447921217msofooter"/>
        <w:spacing w:before="0" w:beforeAutospacing="0" w:after="0" w:afterAutospacing="0"/>
        <w:rPr>
          <w:rFonts w:ascii="Calibri" w:hAnsi="Calibri"/>
          <w:color w:val="222222"/>
          <w:sz w:val="20"/>
          <w:szCs w:val="20"/>
          <w:lang w:val="en-US"/>
        </w:rPr>
      </w:pPr>
    </w:p>
    <w:p w14:paraId="7EEB2F3B" w14:textId="77777777" w:rsidR="00CC3032" w:rsidRDefault="00CC3032" w:rsidP="0098178F">
      <w:pPr>
        <w:pStyle w:val="m5812761834447921217msofooter"/>
        <w:spacing w:before="0" w:beforeAutospacing="0" w:after="0" w:afterAutospacing="0"/>
        <w:rPr>
          <w:rFonts w:ascii="Calibri" w:hAnsi="Calibri"/>
          <w:color w:val="222222"/>
          <w:sz w:val="20"/>
          <w:szCs w:val="20"/>
          <w:lang w:val="en-US"/>
        </w:rPr>
      </w:pPr>
    </w:p>
    <w:p w14:paraId="0D6C66DE" w14:textId="6A75B321" w:rsidR="0098178F" w:rsidRDefault="0098178F" w:rsidP="0098178F">
      <w:pPr>
        <w:pStyle w:val="m5812761834447921217msofooter"/>
        <w:spacing w:before="0" w:beforeAutospacing="0" w:after="0" w:afterAutospacing="0"/>
        <w:rPr>
          <w:rFonts w:ascii="Calibri" w:hAnsi="Calibri"/>
          <w:color w:val="222222"/>
          <w:sz w:val="20"/>
          <w:szCs w:val="20"/>
          <w:lang w:val="en-US"/>
        </w:rPr>
      </w:pPr>
      <w:r w:rsidRPr="00575494">
        <w:rPr>
          <w:rFonts w:ascii="Calibri" w:hAnsi="Calibri"/>
          <w:color w:val="222222"/>
          <w:sz w:val="20"/>
          <w:szCs w:val="20"/>
          <w:lang w:val="en-US"/>
        </w:rPr>
        <w:t>Version 20200</w:t>
      </w:r>
      <w:r w:rsidR="00A32FF3" w:rsidRPr="00A32FF3">
        <w:rPr>
          <w:rFonts w:ascii="Calibri" w:hAnsi="Calibri"/>
          <w:color w:val="222222"/>
          <w:sz w:val="20"/>
          <w:szCs w:val="20"/>
          <w:lang w:val="en-US"/>
        </w:rPr>
        <w:t>907</w:t>
      </w:r>
    </w:p>
    <w:p w14:paraId="138E84AF" w14:textId="77777777" w:rsidR="00CC3032" w:rsidRPr="00575494" w:rsidRDefault="00CC3032" w:rsidP="0098178F">
      <w:pPr>
        <w:pStyle w:val="m5812761834447921217msofooter"/>
        <w:spacing w:before="0" w:beforeAutospacing="0" w:after="0" w:afterAutospacing="0"/>
        <w:rPr>
          <w:rFonts w:ascii="Calibri" w:hAnsi="Calibri"/>
          <w:color w:val="222222"/>
          <w:sz w:val="20"/>
          <w:szCs w:val="20"/>
        </w:rPr>
      </w:pPr>
    </w:p>
    <w:p w14:paraId="12B300CF" w14:textId="77777777" w:rsidR="0098178F" w:rsidRPr="00575494" w:rsidRDefault="0098178F" w:rsidP="0098178F">
      <w:pPr>
        <w:ind w:right="284"/>
        <w:jc w:val="both"/>
        <w:rPr>
          <w:rFonts w:ascii="Arial" w:hAnsi="Arial" w:cs="Arial"/>
          <w:color w:val="222222"/>
        </w:rPr>
      </w:pPr>
      <w:r w:rsidRPr="00575494">
        <w:rPr>
          <w:rFonts w:ascii="Arial" w:hAnsi="Arial" w:cs="Arial"/>
          <w:b/>
          <w:bCs/>
          <w:color w:val="222222"/>
        </w:rPr>
        <w:t>Copyright © 2020 Safe Ministry Resources Pty Ltd</w:t>
      </w:r>
      <w:r w:rsidRPr="00575494">
        <w:rPr>
          <w:rStyle w:val="apple-converted-space"/>
          <w:rFonts w:ascii="Arial" w:hAnsi="Arial" w:cs="Arial"/>
          <w:b/>
          <w:bCs/>
          <w:color w:val="222222"/>
        </w:rPr>
        <w:t> </w:t>
      </w:r>
    </w:p>
    <w:p w14:paraId="7832B47A" w14:textId="77777777" w:rsidR="0098178F" w:rsidRPr="00575494" w:rsidRDefault="0098178F" w:rsidP="0098178F">
      <w:pPr>
        <w:ind w:right="284"/>
        <w:jc w:val="both"/>
        <w:rPr>
          <w:rFonts w:ascii="Arial" w:hAnsi="Arial" w:cs="Arial"/>
          <w:color w:val="222222"/>
          <w:sz w:val="20"/>
          <w:szCs w:val="20"/>
        </w:rPr>
      </w:pPr>
      <w:r w:rsidRPr="00575494">
        <w:rPr>
          <w:rFonts w:ascii="Arial" w:hAnsi="Arial" w:cs="Arial"/>
          <w:color w:val="222222"/>
          <w:sz w:val="20"/>
          <w:szCs w:val="20"/>
        </w:rPr>
        <w:t> </w:t>
      </w:r>
    </w:p>
    <w:p w14:paraId="4C429DC3" w14:textId="77777777" w:rsidR="0098178F" w:rsidRPr="00575494" w:rsidRDefault="0098178F" w:rsidP="0098178F">
      <w:pPr>
        <w:ind w:right="284"/>
        <w:jc w:val="both"/>
        <w:rPr>
          <w:rFonts w:ascii="Arial" w:hAnsi="Arial" w:cs="Arial"/>
          <w:color w:val="222222"/>
          <w:sz w:val="20"/>
          <w:szCs w:val="20"/>
        </w:rPr>
      </w:pPr>
      <w:r w:rsidRPr="00575494">
        <w:rPr>
          <w:rFonts w:ascii="Arial" w:hAnsi="Arial" w:cs="Arial"/>
          <w:color w:val="222222"/>
          <w:sz w:val="20"/>
          <w:szCs w:val="20"/>
        </w:rPr>
        <w:t>The</w:t>
      </w:r>
      <w:r w:rsidRPr="00575494">
        <w:rPr>
          <w:rStyle w:val="apple-converted-space"/>
          <w:rFonts w:ascii="Arial" w:hAnsi="Arial" w:cs="Arial"/>
          <w:color w:val="222222"/>
          <w:sz w:val="20"/>
          <w:szCs w:val="20"/>
        </w:rPr>
        <w:t> </w:t>
      </w:r>
      <w:r w:rsidRPr="00575494">
        <w:rPr>
          <w:rFonts w:ascii="Arial" w:hAnsi="Arial" w:cs="Arial"/>
          <w:b/>
          <w:bCs/>
          <w:color w:val="222222"/>
          <w:sz w:val="20"/>
          <w:szCs w:val="20"/>
        </w:rPr>
        <w:t>Safe Ministry Framework</w:t>
      </w:r>
      <w:r w:rsidRPr="00575494">
        <w:rPr>
          <w:rStyle w:val="apple-converted-space"/>
          <w:rFonts w:ascii="Arial" w:hAnsi="Arial" w:cs="Arial"/>
          <w:color w:val="222222"/>
          <w:sz w:val="20"/>
          <w:szCs w:val="20"/>
        </w:rPr>
        <w:t> </w:t>
      </w:r>
      <w:r w:rsidRPr="00575494">
        <w:rPr>
          <w:rFonts w:ascii="Arial" w:hAnsi="Arial" w:cs="Arial"/>
          <w:color w:val="222222"/>
          <w:sz w:val="20"/>
          <w:szCs w:val="20"/>
        </w:rPr>
        <w:t>is developed and owned by SMR Pty Ltd.</w:t>
      </w:r>
      <w:r w:rsidRPr="00575494">
        <w:rPr>
          <w:rStyle w:val="apple-converted-space"/>
          <w:rFonts w:ascii="Arial" w:hAnsi="Arial" w:cs="Arial"/>
          <w:color w:val="222222"/>
          <w:sz w:val="20"/>
          <w:szCs w:val="20"/>
        </w:rPr>
        <w:t> </w:t>
      </w:r>
    </w:p>
    <w:p w14:paraId="695D335D" w14:textId="5251A8CD" w:rsidR="0098178F" w:rsidRPr="00575494" w:rsidRDefault="00F67E95" w:rsidP="0098178F">
      <w:pPr>
        <w:ind w:right="284"/>
        <w:jc w:val="both"/>
        <w:rPr>
          <w:rFonts w:ascii="Arial" w:hAnsi="Arial" w:cs="Arial"/>
          <w:color w:val="222222"/>
          <w:sz w:val="20"/>
          <w:szCs w:val="20"/>
        </w:rPr>
      </w:pPr>
      <w:r w:rsidRPr="00F67E95">
        <w:rPr>
          <w:rFonts w:ascii="Arial" w:hAnsi="Arial" w:cs="Arial"/>
          <w:color w:val="222222"/>
          <w:sz w:val="20"/>
          <w:szCs w:val="20"/>
        </w:rPr>
        <w:t xml:space="preserve">This document cannot be modified without express written permission through a licence agreement. </w:t>
      </w:r>
      <w:r w:rsidR="0098178F" w:rsidRPr="00575494">
        <w:rPr>
          <w:rFonts w:ascii="Arial" w:hAnsi="Arial" w:cs="Arial"/>
          <w:color w:val="222222"/>
          <w:sz w:val="20"/>
          <w:szCs w:val="20"/>
        </w:rPr>
        <w:t>Please contact SMR Pty Ltd at email</w:t>
      </w:r>
      <w:r w:rsidR="0098178F" w:rsidRPr="00575494">
        <w:rPr>
          <w:rStyle w:val="apple-converted-space"/>
          <w:rFonts w:ascii="Arial" w:hAnsi="Arial" w:cs="Arial"/>
          <w:color w:val="222222"/>
          <w:sz w:val="20"/>
          <w:szCs w:val="20"/>
        </w:rPr>
        <w:t> </w:t>
      </w:r>
      <w:hyperlink r:id="rId9" w:tgtFrame="_blank" w:history="1">
        <w:r w:rsidR="0098178F" w:rsidRPr="00575494">
          <w:rPr>
            <w:rStyle w:val="Hyperlink"/>
            <w:rFonts w:ascii="Arial" w:hAnsi="Arial" w:cs="Arial"/>
            <w:color w:val="1155CC"/>
            <w:sz w:val="20"/>
            <w:szCs w:val="20"/>
          </w:rPr>
          <w:t>info@safercommunities.net.au</w:t>
        </w:r>
      </w:hyperlink>
      <w:r w:rsidR="0098178F" w:rsidRPr="00575494">
        <w:rPr>
          <w:rStyle w:val="apple-converted-space"/>
          <w:rFonts w:ascii="Arial" w:hAnsi="Arial" w:cs="Arial"/>
          <w:color w:val="222222"/>
          <w:sz w:val="20"/>
          <w:szCs w:val="20"/>
        </w:rPr>
        <w:t> </w:t>
      </w:r>
      <w:r w:rsidR="0098178F" w:rsidRPr="00575494">
        <w:rPr>
          <w:rFonts w:ascii="Arial" w:hAnsi="Arial" w:cs="Arial"/>
          <w:color w:val="222222"/>
          <w:sz w:val="20"/>
          <w:szCs w:val="20"/>
        </w:rPr>
        <w:t>to seek permission.</w:t>
      </w:r>
      <w:r w:rsidR="0098178F" w:rsidRPr="00575494">
        <w:rPr>
          <w:rStyle w:val="apple-converted-space"/>
          <w:rFonts w:ascii="Arial" w:hAnsi="Arial" w:cs="Arial"/>
          <w:color w:val="222222"/>
          <w:sz w:val="20"/>
          <w:szCs w:val="20"/>
        </w:rPr>
        <w:t> </w:t>
      </w:r>
    </w:p>
    <w:p w14:paraId="3788660E" w14:textId="77777777" w:rsidR="0098178F" w:rsidRPr="00575494" w:rsidRDefault="0098178F" w:rsidP="0098178F">
      <w:pPr>
        <w:ind w:right="284"/>
        <w:jc w:val="both"/>
        <w:rPr>
          <w:rFonts w:ascii="Arial" w:hAnsi="Arial" w:cs="Arial"/>
          <w:color w:val="222222"/>
          <w:sz w:val="20"/>
          <w:szCs w:val="20"/>
        </w:rPr>
      </w:pPr>
      <w:r w:rsidRPr="00575494">
        <w:rPr>
          <w:rFonts w:ascii="Arial" w:hAnsi="Arial" w:cs="Arial"/>
          <w:color w:val="222222"/>
          <w:sz w:val="20"/>
          <w:szCs w:val="20"/>
        </w:rPr>
        <w:t>SMR can also provide customisation of the</w:t>
      </w:r>
      <w:r w:rsidRPr="00575494">
        <w:rPr>
          <w:rStyle w:val="apple-converted-space"/>
          <w:rFonts w:ascii="Arial" w:hAnsi="Arial" w:cs="Arial"/>
          <w:color w:val="222222"/>
          <w:sz w:val="20"/>
          <w:szCs w:val="20"/>
        </w:rPr>
        <w:t> </w:t>
      </w:r>
      <w:r w:rsidRPr="00575494">
        <w:rPr>
          <w:rFonts w:ascii="Arial" w:hAnsi="Arial" w:cs="Arial"/>
          <w:b/>
          <w:bCs/>
          <w:color w:val="222222"/>
          <w:sz w:val="20"/>
          <w:szCs w:val="20"/>
        </w:rPr>
        <w:t>Safe Ministry Framework</w:t>
      </w:r>
      <w:r w:rsidRPr="00575494">
        <w:rPr>
          <w:rStyle w:val="apple-converted-space"/>
          <w:rFonts w:ascii="Arial" w:hAnsi="Arial" w:cs="Arial"/>
          <w:color w:val="222222"/>
          <w:sz w:val="20"/>
          <w:szCs w:val="20"/>
        </w:rPr>
        <w:t> </w:t>
      </w:r>
      <w:r w:rsidRPr="00575494">
        <w:rPr>
          <w:rFonts w:ascii="Arial" w:hAnsi="Arial" w:cs="Arial"/>
          <w:color w:val="222222"/>
          <w:sz w:val="20"/>
          <w:szCs w:val="20"/>
        </w:rPr>
        <w:t>for your church or denomination.</w:t>
      </w:r>
      <w:r w:rsidRPr="00575494">
        <w:rPr>
          <w:rStyle w:val="apple-converted-space"/>
          <w:rFonts w:ascii="Arial" w:hAnsi="Arial" w:cs="Arial"/>
          <w:color w:val="222222"/>
          <w:sz w:val="20"/>
          <w:szCs w:val="20"/>
        </w:rPr>
        <w:t> </w:t>
      </w:r>
    </w:p>
    <w:p w14:paraId="06BFF6D0" w14:textId="77777777" w:rsidR="0098178F" w:rsidRPr="00575494" w:rsidRDefault="0098178F" w:rsidP="0098178F">
      <w:pPr>
        <w:ind w:right="284"/>
        <w:jc w:val="both"/>
        <w:rPr>
          <w:rFonts w:ascii="Arial" w:hAnsi="Arial" w:cs="Arial"/>
          <w:color w:val="222222"/>
          <w:sz w:val="20"/>
          <w:szCs w:val="20"/>
        </w:rPr>
      </w:pPr>
      <w:r w:rsidRPr="00575494">
        <w:rPr>
          <w:rFonts w:ascii="Arial" w:hAnsi="Arial" w:cs="Arial"/>
          <w:color w:val="222222"/>
          <w:sz w:val="20"/>
          <w:szCs w:val="20"/>
        </w:rPr>
        <w:t> </w:t>
      </w:r>
    </w:p>
    <w:p w14:paraId="2AF4043F" w14:textId="09634161" w:rsidR="0098178F" w:rsidRPr="0098178F" w:rsidRDefault="0098178F" w:rsidP="0098178F">
      <w:pPr>
        <w:pStyle w:val="m5812761834447921217msofooter"/>
        <w:spacing w:before="0" w:beforeAutospacing="0" w:after="0" w:afterAutospacing="0"/>
        <w:rPr>
          <w:rFonts w:ascii="Calibri" w:hAnsi="Calibri"/>
          <w:color w:val="222222"/>
          <w:sz w:val="18"/>
        </w:rPr>
      </w:pPr>
      <w:r w:rsidRPr="00575494">
        <w:rPr>
          <w:rFonts w:ascii="Arial" w:hAnsi="Arial" w:cs="Arial"/>
          <w:b/>
          <w:bCs/>
          <w:color w:val="222222"/>
          <w:sz w:val="20"/>
          <w:szCs w:val="20"/>
        </w:rPr>
        <w:t>Disclaimer</w:t>
      </w:r>
      <w:r w:rsidRPr="00575494">
        <w:rPr>
          <w:rFonts w:ascii="Arial" w:hAnsi="Arial" w:cs="Arial"/>
          <w:color w:val="222222"/>
          <w:sz w:val="20"/>
          <w:szCs w:val="20"/>
        </w:rPr>
        <w:t>:</w:t>
      </w:r>
      <w:r w:rsidRPr="00575494">
        <w:rPr>
          <w:rStyle w:val="apple-converted-space"/>
          <w:rFonts w:ascii="Arial" w:hAnsi="Arial" w:cs="Arial"/>
          <w:color w:val="222222"/>
          <w:sz w:val="20"/>
          <w:szCs w:val="20"/>
        </w:rPr>
        <w:t> </w:t>
      </w:r>
      <w:r w:rsidRPr="00575494">
        <w:rPr>
          <w:rFonts w:ascii="Arial" w:hAnsi="Arial" w:cs="Arial"/>
          <w:color w:val="222222"/>
          <w:sz w:val="20"/>
          <w:szCs w:val="20"/>
        </w:rPr>
        <w:t>This publication is not legal advice. The ideas and procedures herein are based on nationally recognised good practice advice for Safe Ministry and have been written with due regard to Australian legislation Ma</w:t>
      </w:r>
      <w:r w:rsidR="00CC3032">
        <w:rPr>
          <w:rFonts w:ascii="Arial" w:hAnsi="Arial" w:cs="Arial"/>
          <w:color w:val="222222"/>
          <w:sz w:val="20"/>
          <w:szCs w:val="20"/>
        </w:rPr>
        <w:t>y</w:t>
      </w:r>
      <w:r w:rsidRPr="00575494">
        <w:rPr>
          <w:rFonts w:ascii="Arial" w:hAnsi="Arial" w:cs="Arial"/>
          <w:color w:val="222222"/>
          <w:sz w:val="20"/>
          <w:szCs w:val="20"/>
        </w:rPr>
        <w:t xml:space="preserve"> 2020. </w:t>
      </w:r>
      <w:r w:rsidRPr="00575494">
        <w:rPr>
          <w:rStyle w:val="apple-converted-space"/>
          <w:rFonts w:ascii="Arial" w:hAnsi="Arial" w:cs="Arial"/>
          <w:color w:val="222222"/>
          <w:sz w:val="20"/>
          <w:szCs w:val="20"/>
        </w:rPr>
        <w:t> </w:t>
      </w:r>
      <w:r w:rsidRPr="00575494">
        <w:rPr>
          <w:rFonts w:ascii="Arial" w:hAnsi="Arial" w:cs="Arial"/>
          <w:color w:val="222222"/>
          <w:sz w:val="20"/>
          <w:szCs w:val="20"/>
        </w:rPr>
        <w:br/>
        <w:t>Legal advice may need to be sought when responding to individual incidents</w:t>
      </w:r>
      <w:r w:rsidRPr="00575494">
        <w:rPr>
          <w:rFonts w:ascii="Arial" w:hAnsi="Arial" w:cs="Arial"/>
          <w:color w:val="222222"/>
          <w:sz w:val="20"/>
          <w:szCs w:val="28"/>
        </w:rPr>
        <w:t>.</w:t>
      </w:r>
    </w:p>
    <w:sectPr w:rsidR="0098178F" w:rsidRPr="0098178F" w:rsidSect="0098178F">
      <w:footerReference w:type="default" r:id="rId10"/>
      <w:pgSz w:w="11906" w:h="16838"/>
      <w:pgMar w:top="1552" w:right="1440" w:bottom="1282"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288650" w14:textId="77777777" w:rsidR="001349FE" w:rsidRDefault="001349FE" w:rsidP="00BC0E81">
      <w:r>
        <w:separator/>
      </w:r>
    </w:p>
  </w:endnote>
  <w:endnote w:type="continuationSeparator" w:id="0">
    <w:p w14:paraId="65F3E766" w14:textId="77777777" w:rsidR="001349FE" w:rsidRDefault="001349FE" w:rsidP="00BC0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venir-Light">
    <w:altName w:val="Calibri"/>
    <w:panose1 w:val="020B0402020203020204"/>
    <w:charset w:val="4D"/>
    <w:family w:val="swiss"/>
    <w:pitch w:val="variable"/>
    <w:sig w:usb0="800000AF" w:usb1="5000204A" w:usb2="00000000" w:usb3="00000000" w:csb0="0000009B" w:csb1="00000000"/>
  </w:font>
  <w:font w:name="Avenir Light">
    <w:panose1 w:val="020B0402020203020204"/>
    <w:charset w:val="4D"/>
    <w:family w:val="swiss"/>
    <w:pitch w:val="variable"/>
    <w:sig w:usb0="800000AF" w:usb1="5000204A" w:usb2="00000000" w:usb3="00000000" w:csb0="0000009B" w:csb1="00000000"/>
  </w:font>
  <w:font w:name="MyriadPro-Light">
    <w:panose1 w:val="020B0604020202020204"/>
    <w:charset w:val="00"/>
    <w:family w:val="swiss"/>
    <w:notTrueType/>
    <w:pitch w:val="variable"/>
    <w:sig w:usb0="20000287" w:usb1="00000001" w:usb2="00000000" w:usb3="00000000" w:csb0="0000019F" w:csb1="00000000"/>
  </w:font>
  <w:font w:name="Times-Roman">
    <w:altName w:val="Times New Roman"/>
    <w:panose1 w:val="0000050000000002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46C6CB" w14:textId="477B167B" w:rsidR="000D4C5F" w:rsidRPr="000D4C5F" w:rsidRDefault="000D4C5F" w:rsidP="000D4C5F">
    <w:pPr>
      <w:pStyle w:val="Footer"/>
      <w:tabs>
        <w:tab w:val="clear" w:pos="4513"/>
        <w:tab w:val="clear" w:pos="9026"/>
        <w:tab w:val="left" w:pos="1870"/>
      </w:tabs>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D809C8" w14:textId="77777777" w:rsidR="001349FE" w:rsidRDefault="001349FE" w:rsidP="00BC0E81">
      <w:r>
        <w:separator/>
      </w:r>
    </w:p>
  </w:footnote>
  <w:footnote w:type="continuationSeparator" w:id="0">
    <w:p w14:paraId="63824DC0" w14:textId="77777777" w:rsidR="001349FE" w:rsidRDefault="001349FE" w:rsidP="00BC0E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D367E"/>
    <w:multiLevelType w:val="multilevel"/>
    <w:tmpl w:val="82F8FAC0"/>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 w15:restartNumberingAfterBreak="0">
    <w:nsid w:val="059C7157"/>
    <w:multiLevelType w:val="hybridMultilevel"/>
    <w:tmpl w:val="E62267AE"/>
    <w:lvl w:ilvl="0" w:tplc="0C090019">
      <w:start w:val="1"/>
      <w:numFmt w:val="lowerLetter"/>
      <w:lvlText w:val="%1."/>
      <w:lvlJc w:val="left"/>
      <w:pPr>
        <w:ind w:left="927" w:hanging="360"/>
      </w:p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 w15:restartNumberingAfterBreak="0">
    <w:nsid w:val="0A2320C6"/>
    <w:multiLevelType w:val="hybridMultilevel"/>
    <w:tmpl w:val="1018B57C"/>
    <w:lvl w:ilvl="0" w:tplc="6F604DC6">
      <w:start w:val="1"/>
      <w:numFmt w:val="lowerRoman"/>
      <w:lvlText w:val="%1."/>
      <w:lvlJc w:val="right"/>
      <w:pPr>
        <w:ind w:left="1146" w:hanging="360"/>
      </w:pPr>
      <w:rPr>
        <w:rFonts w:hint="default"/>
        <w:color w:val="000000" w:themeColor="text1"/>
      </w:r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3" w15:restartNumberingAfterBreak="0">
    <w:nsid w:val="0B5C7149"/>
    <w:multiLevelType w:val="multilevel"/>
    <w:tmpl w:val="AF8AC5DC"/>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4" w15:restartNumberingAfterBreak="0">
    <w:nsid w:val="0FAD0817"/>
    <w:multiLevelType w:val="multilevel"/>
    <w:tmpl w:val="26BA2CD8"/>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5" w15:restartNumberingAfterBreak="0">
    <w:nsid w:val="19FB77EE"/>
    <w:multiLevelType w:val="hybridMultilevel"/>
    <w:tmpl w:val="51D6FB1E"/>
    <w:lvl w:ilvl="0" w:tplc="0C090019">
      <w:start w:val="1"/>
      <w:numFmt w:val="lowerLetter"/>
      <w:lvlText w:val="%1."/>
      <w:lvlJc w:val="left"/>
      <w:pPr>
        <w:ind w:left="1146" w:hanging="360"/>
      </w:p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6" w15:restartNumberingAfterBreak="0">
    <w:nsid w:val="1BB77958"/>
    <w:multiLevelType w:val="hybridMultilevel"/>
    <w:tmpl w:val="D234D68C"/>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7" w15:restartNumberingAfterBreak="0">
    <w:nsid w:val="1F7325BD"/>
    <w:multiLevelType w:val="hybridMultilevel"/>
    <w:tmpl w:val="E62606A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F76181E"/>
    <w:multiLevelType w:val="hybridMultilevel"/>
    <w:tmpl w:val="FA3ED840"/>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9" w15:restartNumberingAfterBreak="0">
    <w:nsid w:val="1FB2186E"/>
    <w:multiLevelType w:val="multilevel"/>
    <w:tmpl w:val="F2E0102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E34462B"/>
    <w:multiLevelType w:val="hybridMultilevel"/>
    <w:tmpl w:val="21E495A6"/>
    <w:lvl w:ilvl="0" w:tplc="6F604DC6">
      <w:start w:val="1"/>
      <w:numFmt w:val="lowerRoman"/>
      <w:lvlText w:val="%1."/>
      <w:lvlJc w:val="right"/>
      <w:pPr>
        <w:ind w:left="1440" w:hanging="360"/>
      </w:pPr>
      <w:rPr>
        <w:rFonts w:hint="default"/>
        <w:color w:val="000000" w:themeColor="text1"/>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1" w15:restartNumberingAfterBreak="0">
    <w:nsid w:val="366B7244"/>
    <w:multiLevelType w:val="multilevel"/>
    <w:tmpl w:val="C8166C3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A2A253C"/>
    <w:multiLevelType w:val="hybridMultilevel"/>
    <w:tmpl w:val="46B29D9A"/>
    <w:lvl w:ilvl="0" w:tplc="0C090019">
      <w:start w:val="1"/>
      <w:numFmt w:val="lowerLetter"/>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3E44CCB"/>
    <w:multiLevelType w:val="hybridMultilevel"/>
    <w:tmpl w:val="A518F222"/>
    <w:lvl w:ilvl="0" w:tplc="6F604DC6">
      <w:start w:val="1"/>
      <w:numFmt w:val="lowerRoman"/>
      <w:lvlText w:val="%1."/>
      <w:lvlJc w:val="right"/>
      <w:pPr>
        <w:ind w:left="1287" w:hanging="360"/>
      </w:pPr>
      <w:rPr>
        <w:rFonts w:hint="default"/>
        <w:color w:val="000000" w:themeColor="text1"/>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4" w15:restartNumberingAfterBreak="0">
    <w:nsid w:val="4411751B"/>
    <w:multiLevelType w:val="multilevel"/>
    <w:tmpl w:val="ABFECA7C"/>
    <w:lvl w:ilvl="0">
      <w:start w:val="1"/>
      <w:numFmt w:val="lowerLetter"/>
      <w:lvlText w:val="%1."/>
      <w:lvlJc w:val="left"/>
      <w:pPr>
        <w:ind w:left="1145" w:hanging="360"/>
      </w:pPr>
    </w:lvl>
    <w:lvl w:ilvl="1">
      <w:start w:val="1"/>
      <w:numFmt w:val="lowerLetter"/>
      <w:lvlText w:val="%2."/>
      <w:lvlJc w:val="left"/>
      <w:pPr>
        <w:ind w:left="1865" w:hanging="360"/>
      </w:pPr>
    </w:lvl>
    <w:lvl w:ilvl="2">
      <w:start w:val="1"/>
      <w:numFmt w:val="lowerRoman"/>
      <w:lvlText w:val="%3."/>
      <w:lvlJc w:val="right"/>
      <w:pPr>
        <w:ind w:left="2585" w:hanging="180"/>
      </w:pPr>
    </w:lvl>
    <w:lvl w:ilvl="3">
      <w:start w:val="1"/>
      <w:numFmt w:val="decimal"/>
      <w:lvlText w:val="%4."/>
      <w:lvlJc w:val="left"/>
      <w:pPr>
        <w:ind w:left="3305" w:hanging="360"/>
      </w:pPr>
    </w:lvl>
    <w:lvl w:ilvl="4">
      <w:start w:val="1"/>
      <w:numFmt w:val="lowerLetter"/>
      <w:lvlText w:val="%5."/>
      <w:lvlJc w:val="left"/>
      <w:pPr>
        <w:ind w:left="4025" w:hanging="360"/>
      </w:pPr>
    </w:lvl>
    <w:lvl w:ilvl="5">
      <w:start w:val="1"/>
      <w:numFmt w:val="lowerRoman"/>
      <w:lvlText w:val="%6."/>
      <w:lvlJc w:val="right"/>
      <w:pPr>
        <w:ind w:left="4745" w:hanging="180"/>
      </w:pPr>
    </w:lvl>
    <w:lvl w:ilvl="6">
      <w:start w:val="1"/>
      <w:numFmt w:val="decimal"/>
      <w:lvlText w:val="%7."/>
      <w:lvlJc w:val="left"/>
      <w:pPr>
        <w:ind w:left="5465" w:hanging="360"/>
      </w:pPr>
    </w:lvl>
    <w:lvl w:ilvl="7">
      <w:start w:val="1"/>
      <w:numFmt w:val="lowerLetter"/>
      <w:lvlText w:val="%8."/>
      <w:lvlJc w:val="left"/>
      <w:pPr>
        <w:ind w:left="6185" w:hanging="360"/>
      </w:pPr>
    </w:lvl>
    <w:lvl w:ilvl="8">
      <w:start w:val="1"/>
      <w:numFmt w:val="lowerRoman"/>
      <w:lvlText w:val="%9."/>
      <w:lvlJc w:val="right"/>
      <w:pPr>
        <w:ind w:left="6905" w:hanging="180"/>
      </w:pPr>
    </w:lvl>
  </w:abstractNum>
  <w:abstractNum w:abstractNumId="15" w15:restartNumberingAfterBreak="0">
    <w:nsid w:val="45A04077"/>
    <w:multiLevelType w:val="multilevel"/>
    <w:tmpl w:val="890867D8"/>
    <w:lvl w:ilvl="0">
      <w:start w:val="1"/>
      <w:numFmt w:val="lowerLetter"/>
      <w:lvlText w:val="%1."/>
      <w:lvlJc w:val="left"/>
      <w:pPr>
        <w:ind w:left="720" w:hanging="360"/>
      </w:p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11F57D3"/>
    <w:multiLevelType w:val="hybridMultilevel"/>
    <w:tmpl w:val="1862E936"/>
    <w:lvl w:ilvl="0" w:tplc="0C090019">
      <w:start w:val="1"/>
      <w:numFmt w:val="lowerLetter"/>
      <w:lvlText w:val="%1."/>
      <w:lvlJc w:val="left"/>
      <w:pPr>
        <w:ind w:left="1145" w:hanging="360"/>
      </w:pPr>
    </w:lvl>
    <w:lvl w:ilvl="1" w:tplc="0C090019">
      <w:start w:val="1"/>
      <w:numFmt w:val="lowerLetter"/>
      <w:lvlText w:val="%2."/>
      <w:lvlJc w:val="left"/>
      <w:pPr>
        <w:ind w:left="1865" w:hanging="360"/>
      </w:pPr>
    </w:lvl>
    <w:lvl w:ilvl="2" w:tplc="0C09001B" w:tentative="1">
      <w:start w:val="1"/>
      <w:numFmt w:val="lowerRoman"/>
      <w:lvlText w:val="%3."/>
      <w:lvlJc w:val="right"/>
      <w:pPr>
        <w:ind w:left="2585" w:hanging="180"/>
      </w:pPr>
    </w:lvl>
    <w:lvl w:ilvl="3" w:tplc="0C09000F" w:tentative="1">
      <w:start w:val="1"/>
      <w:numFmt w:val="decimal"/>
      <w:lvlText w:val="%4."/>
      <w:lvlJc w:val="left"/>
      <w:pPr>
        <w:ind w:left="3305" w:hanging="360"/>
      </w:pPr>
    </w:lvl>
    <w:lvl w:ilvl="4" w:tplc="0C090019" w:tentative="1">
      <w:start w:val="1"/>
      <w:numFmt w:val="lowerLetter"/>
      <w:lvlText w:val="%5."/>
      <w:lvlJc w:val="left"/>
      <w:pPr>
        <w:ind w:left="4025" w:hanging="360"/>
      </w:pPr>
    </w:lvl>
    <w:lvl w:ilvl="5" w:tplc="0C09001B" w:tentative="1">
      <w:start w:val="1"/>
      <w:numFmt w:val="lowerRoman"/>
      <w:lvlText w:val="%6."/>
      <w:lvlJc w:val="right"/>
      <w:pPr>
        <w:ind w:left="4745" w:hanging="180"/>
      </w:pPr>
    </w:lvl>
    <w:lvl w:ilvl="6" w:tplc="0C09000F" w:tentative="1">
      <w:start w:val="1"/>
      <w:numFmt w:val="decimal"/>
      <w:lvlText w:val="%7."/>
      <w:lvlJc w:val="left"/>
      <w:pPr>
        <w:ind w:left="5465" w:hanging="360"/>
      </w:pPr>
    </w:lvl>
    <w:lvl w:ilvl="7" w:tplc="0C090019" w:tentative="1">
      <w:start w:val="1"/>
      <w:numFmt w:val="lowerLetter"/>
      <w:lvlText w:val="%8."/>
      <w:lvlJc w:val="left"/>
      <w:pPr>
        <w:ind w:left="6185" w:hanging="360"/>
      </w:pPr>
    </w:lvl>
    <w:lvl w:ilvl="8" w:tplc="0C09001B" w:tentative="1">
      <w:start w:val="1"/>
      <w:numFmt w:val="lowerRoman"/>
      <w:lvlText w:val="%9."/>
      <w:lvlJc w:val="right"/>
      <w:pPr>
        <w:ind w:left="6905" w:hanging="180"/>
      </w:pPr>
    </w:lvl>
  </w:abstractNum>
  <w:abstractNum w:abstractNumId="17" w15:restartNumberingAfterBreak="0">
    <w:nsid w:val="590E2774"/>
    <w:multiLevelType w:val="multilevel"/>
    <w:tmpl w:val="A956C450"/>
    <w:lvl w:ilvl="0">
      <w:start w:val="1"/>
      <w:numFmt w:val="lowerRoman"/>
      <w:lvlText w:val="%1."/>
      <w:lvlJc w:val="right"/>
      <w:pPr>
        <w:ind w:left="1287" w:hanging="360"/>
      </w:pPr>
      <w:rPr>
        <w:color w:val="000000"/>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8" w15:restartNumberingAfterBreak="0">
    <w:nsid w:val="5A1F2353"/>
    <w:multiLevelType w:val="multilevel"/>
    <w:tmpl w:val="C6B20EC8"/>
    <w:lvl w:ilvl="0">
      <w:start w:val="1"/>
      <w:numFmt w:val="lowerRoman"/>
      <w:lvlText w:val="%1."/>
      <w:lvlJc w:val="right"/>
      <w:pPr>
        <w:ind w:left="1440" w:hanging="360"/>
      </w:pPr>
      <w:rPr>
        <w:color w:val="00000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9" w15:restartNumberingAfterBreak="0">
    <w:nsid w:val="5D5D7658"/>
    <w:multiLevelType w:val="hybridMultilevel"/>
    <w:tmpl w:val="D7848F64"/>
    <w:lvl w:ilvl="0" w:tplc="0C090019">
      <w:start w:val="1"/>
      <w:numFmt w:val="lowerLetter"/>
      <w:lvlText w:val="%1."/>
      <w:lvlJc w:val="left"/>
      <w:pPr>
        <w:ind w:left="920" w:hanging="360"/>
      </w:pPr>
    </w:lvl>
    <w:lvl w:ilvl="1" w:tplc="0C090019" w:tentative="1">
      <w:start w:val="1"/>
      <w:numFmt w:val="lowerLetter"/>
      <w:lvlText w:val="%2."/>
      <w:lvlJc w:val="left"/>
      <w:pPr>
        <w:ind w:left="1640" w:hanging="360"/>
      </w:pPr>
    </w:lvl>
    <w:lvl w:ilvl="2" w:tplc="0C09001B" w:tentative="1">
      <w:start w:val="1"/>
      <w:numFmt w:val="lowerRoman"/>
      <w:lvlText w:val="%3."/>
      <w:lvlJc w:val="right"/>
      <w:pPr>
        <w:ind w:left="2360" w:hanging="180"/>
      </w:pPr>
    </w:lvl>
    <w:lvl w:ilvl="3" w:tplc="0C09000F" w:tentative="1">
      <w:start w:val="1"/>
      <w:numFmt w:val="decimal"/>
      <w:lvlText w:val="%4."/>
      <w:lvlJc w:val="left"/>
      <w:pPr>
        <w:ind w:left="3080" w:hanging="360"/>
      </w:pPr>
    </w:lvl>
    <w:lvl w:ilvl="4" w:tplc="0C090019" w:tentative="1">
      <w:start w:val="1"/>
      <w:numFmt w:val="lowerLetter"/>
      <w:lvlText w:val="%5."/>
      <w:lvlJc w:val="left"/>
      <w:pPr>
        <w:ind w:left="3800" w:hanging="360"/>
      </w:pPr>
    </w:lvl>
    <w:lvl w:ilvl="5" w:tplc="0C09001B" w:tentative="1">
      <w:start w:val="1"/>
      <w:numFmt w:val="lowerRoman"/>
      <w:lvlText w:val="%6."/>
      <w:lvlJc w:val="right"/>
      <w:pPr>
        <w:ind w:left="4520" w:hanging="180"/>
      </w:pPr>
    </w:lvl>
    <w:lvl w:ilvl="6" w:tplc="0C09000F" w:tentative="1">
      <w:start w:val="1"/>
      <w:numFmt w:val="decimal"/>
      <w:lvlText w:val="%7."/>
      <w:lvlJc w:val="left"/>
      <w:pPr>
        <w:ind w:left="5240" w:hanging="360"/>
      </w:pPr>
    </w:lvl>
    <w:lvl w:ilvl="7" w:tplc="0C090019" w:tentative="1">
      <w:start w:val="1"/>
      <w:numFmt w:val="lowerLetter"/>
      <w:lvlText w:val="%8."/>
      <w:lvlJc w:val="left"/>
      <w:pPr>
        <w:ind w:left="5960" w:hanging="360"/>
      </w:pPr>
    </w:lvl>
    <w:lvl w:ilvl="8" w:tplc="0C09001B" w:tentative="1">
      <w:start w:val="1"/>
      <w:numFmt w:val="lowerRoman"/>
      <w:lvlText w:val="%9."/>
      <w:lvlJc w:val="right"/>
      <w:pPr>
        <w:ind w:left="6680" w:hanging="180"/>
      </w:pPr>
    </w:lvl>
  </w:abstractNum>
  <w:abstractNum w:abstractNumId="20" w15:restartNumberingAfterBreak="0">
    <w:nsid w:val="5DC51F93"/>
    <w:multiLevelType w:val="multilevel"/>
    <w:tmpl w:val="13B09DD0"/>
    <w:lvl w:ilvl="0">
      <w:start w:val="1"/>
      <w:numFmt w:val="lowerLetter"/>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1" w15:restartNumberingAfterBreak="0">
    <w:nsid w:val="62CE3941"/>
    <w:multiLevelType w:val="multilevel"/>
    <w:tmpl w:val="41A023EC"/>
    <w:lvl w:ilvl="0">
      <w:start w:val="1"/>
      <w:numFmt w:val="lowerLetter"/>
      <w:lvlText w:val="%1."/>
      <w:lvlJc w:val="left"/>
      <w:pPr>
        <w:ind w:left="920" w:hanging="360"/>
      </w:pPr>
    </w:lvl>
    <w:lvl w:ilvl="1">
      <w:start w:val="1"/>
      <w:numFmt w:val="lowerLetter"/>
      <w:lvlText w:val="%2."/>
      <w:lvlJc w:val="left"/>
      <w:pPr>
        <w:ind w:left="1640" w:hanging="360"/>
      </w:pPr>
    </w:lvl>
    <w:lvl w:ilvl="2">
      <w:start w:val="1"/>
      <w:numFmt w:val="lowerRoman"/>
      <w:lvlText w:val="%3."/>
      <w:lvlJc w:val="right"/>
      <w:pPr>
        <w:ind w:left="2360" w:hanging="180"/>
      </w:pPr>
    </w:lvl>
    <w:lvl w:ilvl="3">
      <w:start w:val="1"/>
      <w:numFmt w:val="decimal"/>
      <w:lvlText w:val="%4."/>
      <w:lvlJc w:val="left"/>
      <w:pPr>
        <w:ind w:left="3080" w:hanging="360"/>
      </w:pPr>
    </w:lvl>
    <w:lvl w:ilvl="4">
      <w:start w:val="1"/>
      <w:numFmt w:val="lowerLetter"/>
      <w:lvlText w:val="%5."/>
      <w:lvlJc w:val="left"/>
      <w:pPr>
        <w:ind w:left="3800" w:hanging="360"/>
      </w:pPr>
    </w:lvl>
    <w:lvl w:ilvl="5">
      <w:start w:val="1"/>
      <w:numFmt w:val="lowerRoman"/>
      <w:lvlText w:val="%6."/>
      <w:lvlJc w:val="right"/>
      <w:pPr>
        <w:ind w:left="4520" w:hanging="180"/>
      </w:pPr>
    </w:lvl>
    <w:lvl w:ilvl="6">
      <w:start w:val="1"/>
      <w:numFmt w:val="decimal"/>
      <w:lvlText w:val="%7."/>
      <w:lvlJc w:val="left"/>
      <w:pPr>
        <w:ind w:left="5240" w:hanging="360"/>
      </w:pPr>
    </w:lvl>
    <w:lvl w:ilvl="7">
      <w:start w:val="1"/>
      <w:numFmt w:val="lowerLetter"/>
      <w:lvlText w:val="%8."/>
      <w:lvlJc w:val="left"/>
      <w:pPr>
        <w:ind w:left="5960" w:hanging="360"/>
      </w:pPr>
    </w:lvl>
    <w:lvl w:ilvl="8">
      <w:start w:val="1"/>
      <w:numFmt w:val="lowerRoman"/>
      <w:lvlText w:val="%9."/>
      <w:lvlJc w:val="right"/>
      <w:pPr>
        <w:ind w:left="6680" w:hanging="180"/>
      </w:pPr>
    </w:lvl>
  </w:abstractNum>
  <w:abstractNum w:abstractNumId="22" w15:restartNumberingAfterBreak="0">
    <w:nsid w:val="65664601"/>
    <w:multiLevelType w:val="multilevel"/>
    <w:tmpl w:val="D500E930"/>
    <w:lvl w:ilvl="0">
      <w:start w:val="1"/>
      <w:numFmt w:val="lowerRoman"/>
      <w:lvlText w:val="%1."/>
      <w:lvlJc w:val="right"/>
      <w:pPr>
        <w:ind w:left="1146" w:hanging="360"/>
      </w:pPr>
      <w:rPr>
        <w:color w:val="000000"/>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3" w15:restartNumberingAfterBreak="0">
    <w:nsid w:val="6D814C4D"/>
    <w:multiLevelType w:val="multilevel"/>
    <w:tmpl w:val="BC3A827A"/>
    <w:lvl w:ilvl="0">
      <w:start w:val="1"/>
      <w:numFmt w:val="bullet"/>
      <w:lvlText w:val="●"/>
      <w:lvlJc w:val="left"/>
      <w:pPr>
        <w:ind w:left="1146" w:hanging="360"/>
      </w:pPr>
      <w:rPr>
        <w:rFonts w:ascii="Noto Sans Symbols" w:eastAsia="Noto Sans Symbols" w:hAnsi="Noto Sans Symbols" w:cs="Noto Sans Symbols"/>
      </w:r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abstractNum w:abstractNumId="24" w15:restartNumberingAfterBreak="0">
    <w:nsid w:val="6EE46EDA"/>
    <w:multiLevelType w:val="multilevel"/>
    <w:tmpl w:val="C85CE52A"/>
    <w:lvl w:ilvl="0">
      <w:start w:val="1"/>
      <w:numFmt w:val="lowerLetter"/>
      <w:lvlText w:val="%1."/>
      <w:lvlJc w:val="left"/>
      <w:pPr>
        <w:ind w:left="1004" w:hanging="360"/>
      </w:pPr>
    </w:lvl>
    <w:lvl w:ilvl="1">
      <w:start w:val="1"/>
      <w:numFmt w:val="upperRoman"/>
      <w:lvlText w:val="%2."/>
      <w:lvlJc w:val="righ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5" w15:restartNumberingAfterBreak="0">
    <w:nsid w:val="73746D12"/>
    <w:multiLevelType w:val="hybridMultilevel"/>
    <w:tmpl w:val="5806460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99813A7"/>
    <w:multiLevelType w:val="hybridMultilevel"/>
    <w:tmpl w:val="46F0BFA6"/>
    <w:lvl w:ilvl="0" w:tplc="0C090019">
      <w:start w:val="1"/>
      <w:numFmt w:val="lowerLetter"/>
      <w:lvlText w:val="%1."/>
      <w:lvlJc w:val="left"/>
      <w:pPr>
        <w:ind w:left="1004" w:hanging="360"/>
      </w:p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27" w15:restartNumberingAfterBreak="0">
    <w:nsid w:val="7AC06BE4"/>
    <w:multiLevelType w:val="hybridMultilevel"/>
    <w:tmpl w:val="C1C64E92"/>
    <w:lvl w:ilvl="0" w:tplc="0C090019">
      <w:start w:val="1"/>
      <w:numFmt w:val="lowerLetter"/>
      <w:lvlText w:val="%1."/>
      <w:lvlJc w:val="left"/>
      <w:pPr>
        <w:ind w:left="1004" w:hanging="360"/>
      </w:p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num w:numId="1">
    <w:abstractNumId w:val="12"/>
  </w:num>
  <w:num w:numId="2">
    <w:abstractNumId w:val="25"/>
  </w:num>
  <w:num w:numId="3">
    <w:abstractNumId w:val="2"/>
  </w:num>
  <w:num w:numId="4">
    <w:abstractNumId w:val="1"/>
  </w:num>
  <w:num w:numId="5">
    <w:abstractNumId w:val="16"/>
  </w:num>
  <w:num w:numId="6">
    <w:abstractNumId w:val="19"/>
  </w:num>
  <w:num w:numId="7">
    <w:abstractNumId w:val="13"/>
  </w:num>
  <w:num w:numId="8">
    <w:abstractNumId w:val="10"/>
  </w:num>
  <w:num w:numId="9">
    <w:abstractNumId w:val="26"/>
  </w:num>
  <w:num w:numId="10">
    <w:abstractNumId w:val="7"/>
  </w:num>
  <w:num w:numId="11">
    <w:abstractNumId w:val="5"/>
  </w:num>
  <w:num w:numId="12">
    <w:abstractNumId w:val="27"/>
  </w:num>
  <w:num w:numId="13">
    <w:abstractNumId w:val="6"/>
  </w:num>
  <w:num w:numId="14">
    <w:abstractNumId w:val="8"/>
  </w:num>
  <w:num w:numId="15">
    <w:abstractNumId w:val="24"/>
  </w:num>
  <w:num w:numId="16">
    <w:abstractNumId w:val="0"/>
  </w:num>
  <w:num w:numId="17">
    <w:abstractNumId w:val="9"/>
  </w:num>
  <w:num w:numId="18">
    <w:abstractNumId w:val="3"/>
  </w:num>
  <w:num w:numId="19">
    <w:abstractNumId w:val="18"/>
  </w:num>
  <w:num w:numId="20">
    <w:abstractNumId w:val="11"/>
  </w:num>
  <w:num w:numId="21">
    <w:abstractNumId w:val="20"/>
  </w:num>
  <w:num w:numId="22">
    <w:abstractNumId w:val="22"/>
  </w:num>
  <w:num w:numId="23">
    <w:abstractNumId w:val="14"/>
  </w:num>
  <w:num w:numId="24">
    <w:abstractNumId w:val="17"/>
  </w:num>
  <w:num w:numId="25">
    <w:abstractNumId w:val="21"/>
  </w:num>
  <w:num w:numId="26">
    <w:abstractNumId w:val="15"/>
  </w:num>
  <w:num w:numId="27">
    <w:abstractNumId w:val="23"/>
  </w:num>
  <w:num w:numId="28">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0E81"/>
    <w:rsid w:val="00017086"/>
    <w:rsid w:val="000459B8"/>
    <w:rsid w:val="00052EFD"/>
    <w:rsid w:val="00086B9F"/>
    <w:rsid w:val="000D4C5F"/>
    <w:rsid w:val="000F2AD4"/>
    <w:rsid w:val="0011756D"/>
    <w:rsid w:val="001349FE"/>
    <w:rsid w:val="0015042C"/>
    <w:rsid w:val="0018033C"/>
    <w:rsid w:val="0018117B"/>
    <w:rsid w:val="00183A75"/>
    <w:rsid w:val="00191234"/>
    <w:rsid w:val="001C3427"/>
    <w:rsid w:val="001D15BA"/>
    <w:rsid w:val="001D5EAA"/>
    <w:rsid w:val="00220B27"/>
    <w:rsid w:val="002361F5"/>
    <w:rsid w:val="00251B8D"/>
    <w:rsid w:val="002F021C"/>
    <w:rsid w:val="003410A8"/>
    <w:rsid w:val="003459FA"/>
    <w:rsid w:val="003774A5"/>
    <w:rsid w:val="0039764A"/>
    <w:rsid w:val="003A530B"/>
    <w:rsid w:val="003D75A6"/>
    <w:rsid w:val="00400C06"/>
    <w:rsid w:val="0047331B"/>
    <w:rsid w:val="00532E4C"/>
    <w:rsid w:val="00561465"/>
    <w:rsid w:val="00590B46"/>
    <w:rsid w:val="005D476D"/>
    <w:rsid w:val="005F7513"/>
    <w:rsid w:val="0061207B"/>
    <w:rsid w:val="0063009E"/>
    <w:rsid w:val="00685A6D"/>
    <w:rsid w:val="006B16B0"/>
    <w:rsid w:val="006C1C40"/>
    <w:rsid w:val="00710907"/>
    <w:rsid w:val="0071099B"/>
    <w:rsid w:val="007224AE"/>
    <w:rsid w:val="007478C4"/>
    <w:rsid w:val="00785360"/>
    <w:rsid w:val="007859C3"/>
    <w:rsid w:val="007A49D7"/>
    <w:rsid w:val="007D71AD"/>
    <w:rsid w:val="00801570"/>
    <w:rsid w:val="0084459F"/>
    <w:rsid w:val="008A7016"/>
    <w:rsid w:val="008B69FE"/>
    <w:rsid w:val="00960064"/>
    <w:rsid w:val="00965B1E"/>
    <w:rsid w:val="0098178F"/>
    <w:rsid w:val="00995307"/>
    <w:rsid w:val="009A0CB4"/>
    <w:rsid w:val="009F6B22"/>
    <w:rsid w:val="00A32FF3"/>
    <w:rsid w:val="00A3596E"/>
    <w:rsid w:val="00AE469E"/>
    <w:rsid w:val="00B539F8"/>
    <w:rsid w:val="00B55400"/>
    <w:rsid w:val="00B567B4"/>
    <w:rsid w:val="00B92376"/>
    <w:rsid w:val="00BA752B"/>
    <w:rsid w:val="00BC0E81"/>
    <w:rsid w:val="00C02143"/>
    <w:rsid w:val="00C07245"/>
    <w:rsid w:val="00CC3032"/>
    <w:rsid w:val="00D06848"/>
    <w:rsid w:val="00D3350E"/>
    <w:rsid w:val="00D52610"/>
    <w:rsid w:val="00DD623D"/>
    <w:rsid w:val="00DE37AE"/>
    <w:rsid w:val="00E14A33"/>
    <w:rsid w:val="00E96104"/>
    <w:rsid w:val="00F06AA6"/>
    <w:rsid w:val="00F23CEA"/>
    <w:rsid w:val="00F60DC6"/>
    <w:rsid w:val="00F67E95"/>
    <w:rsid w:val="00F969D8"/>
    <w:rsid w:val="00FC294E"/>
    <w:rsid w:val="00FE37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B5C2BA"/>
  <w15:chartTrackingRefBased/>
  <w15:docId w15:val="{C4D05C6B-72E7-4FAA-A8C2-6D8BEAFA9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C0E81"/>
    <w:pPr>
      <w:spacing w:after="0" w:line="240" w:lineRule="auto"/>
    </w:pPr>
    <w:rPr>
      <w:sz w:val="24"/>
      <w:szCs w:val="24"/>
    </w:rPr>
  </w:style>
  <w:style w:type="paragraph" w:styleId="Heading1">
    <w:name w:val="heading 1"/>
    <w:basedOn w:val="Normal"/>
    <w:next w:val="Normal"/>
    <w:link w:val="Heading1Char"/>
    <w:uiPriority w:val="9"/>
    <w:qFormat/>
    <w:rsid w:val="000459B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6B16B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6B16B0"/>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590B46"/>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6">
    <w:name w:val="heading 6"/>
    <w:basedOn w:val="Normal"/>
    <w:next w:val="Normal"/>
    <w:link w:val="Heading6Char"/>
    <w:uiPriority w:val="1"/>
    <w:unhideWhenUsed/>
    <w:qFormat/>
    <w:rsid w:val="00BC0E81"/>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1"/>
    <w:rsid w:val="00BC0E81"/>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1"/>
    <w:qFormat/>
    <w:rsid w:val="00BC0E81"/>
    <w:pPr>
      <w:spacing w:after="200" w:line="276" w:lineRule="auto"/>
      <w:ind w:left="720"/>
      <w:contextualSpacing/>
    </w:pPr>
    <w:rPr>
      <w:sz w:val="22"/>
      <w:szCs w:val="22"/>
    </w:rPr>
  </w:style>
  <w:style w:type="paragraph" w:styleId="BodyText">
    <w:name w:val="Body Text"/>
    <w:basedOn w:val="Normal"/>
    <w:link w:val="BodyTextChar"/>
    <w:uiPriority w:val="1"/>
    <w:qFormat/>
    <w:rsid w:val="00BC0E81"/>
    <w:pPr>
      <w:widowControl w:val="0"/>
      <w:autoSpaceDE w:val="0"/>
      <w:autoSpaceDN w:val="0"/>
    </w:pPr>
    <w:rPr>
      <w:rFonts w:ascii="Avenir-Light" w:eastAsia="Avenir-Light" w:hAnsi="Avenir-Light" w:cs="Avenir-Light"/>
      <w:sz w:val="20"/>
      <w:szCs w:val="20"/>
      <w:lang w:val="en-US" w:bidi="en-US"/>
    </w:rPr>
  </w:style>
  <w:style w:type="character" w:customStyle="1" w:styleId="BodyTextChar">
    <w:name w:val="Body Text Char"/>
    <w:basedOn w:val="DefaultParagraphFont"/>
    <w:link w:val="BodyText"/>
    <w:uiPriority w:val="1"/>
    <w:rsid w:val="00BC0E81"/>
    <w:rPr>
      <w:rFonts w:ascii="Avenir-Light" w:eastAsia="Avenir-Light" w:hAnsi="Avenir-Light" w:cs="Avenir-Light"/>
      <w:sz w:val="20"/>
      <w:szCs w:val="20"/>
      <w:lang w:val="en-US" w:bidi="en-US"/>
    </w:rPr>
  </w:style>
  <w:style w:type="paragraph" w:styleId="Header">
    <w:name w:val="header"/>
    <w:basedOn w:val="Normal"/>
    <w:link w:val="HeaderChar"/>
    <w:uiPriority w:val="99"/>
    <w:unhideWhenUsed/>
    <w:rsid w:val="00BC0E81"/>
    <w:pPr>
      <w:tabs>
        <w:tab w:val="center" w:pos="4513"/>
        <w:tab w:val="right" w:pos="9026"/>
      </w:tabs>
    </w:pPr>
  </w:style>
  <w:style w:type="character" w:customStyle="1" w:styleId="HeaderChar">
    <w:name w:val="Header Char"/>
    <w:basedOn w:val="DefaultParagraphFont"/>
    <w:link w:val="Header"/>
    <w:uiPriority w:val="99"/>
    <w:rsid w:val="00BC0E81"/>
    <w:rPr>
      <w:sz w:val="24"/>
      <w:szCs w:val="24"/>
    </w:rPr>
  </w:style>
  <w:style w:type="paragraph" w:styleId="Footer">
    <w:name w:val="footer"/>
    <w:basedOn w:val="Normal"/>
    <w:link w:val="FooterChar"/>
    <w:uiPriority w:val="99"/>
    <w:unhideWhenUsed/>
    <w:rsid w:val="00BC0E81"/>
    <w:pPr>
      <w:tabs>
        <w:tab w:val="center" w:pos="4513"/>
        <w:tab w:val="right" w:pos="9026"/>
      </w:tabs>
    </w:pPr>
  </w:style>
  <w:style w:type="character" w:customStyle="1" w:styleId="FooterChar">
    <w:name w:val="Footer Char"/>
    <w:basedOn w:val="DefaultParagraphFont"/>
    <w:link w:val="Footer"/>
    <w:uiPriority w:val="99"/>
    <w:rsid w:val="00BC0E81"/>
    <w:rPr>
      <w:sz w:val="24"/>
      <w:szCs w:val="24"/>
    </w:rPr>
  </w:style>
  <w:style w:type="character" w:styleId="Hyperlink">
    <w:name w:val="Hyperlink"/>
    <w:basedOn w:val="DefaultParagraphFont"/>
    <w:uiPriority w:val="99"/>
    <w:unhideWhenUsed/>
    <w:rsid w:val="000D4C5F"/>
    <w:rPr>
      <w:color w:val="0563C1" w:themeColor="hyperlink"/>
      <w:u w:val="single"/>
    </w:rPr>
  </w:style>
  <w:style w:type="character" w:customStyle="1" w:styleId="Heading2Char">
    <w:name w:val="Heading 2 Char"/>
    <w:basedOn w:val="DefaultParagraphFont"/>
    <w:link w:val="Heading2"/>
    <w:uiPriority w:val="9"/>
    <w:semiHidden/>
    <w:rsid w:val="006B16B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6B16B0"/>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590B46"/>
    <w:rPr>
      <w:rFonts w:asciiTheme="majorHAnsi" w:eastAsiaTheme="majorEastAsia" w:hAnsiTheme="majorHAnsi" w:cstheme="majorBidi"/>
      <w:i/>
      <w:iCs/>
      <w:color w:val="2F5496" w:themeColor="accent1" w:themeShade="BF"/>
      <w:sz w:val="24"/>
      <w:szCs w:val="24"/>
    </w:rPr>
  </w:style>
  <w:style w:type="paragraph" w:customStyle="1" w:styleId="p1">
    <w:name w:val="p1"/>
    <w:basedOn w:val="Normal"/>
    <w:rsid w:val="00B92376"/>
    <w:pPr>
      <w:tabs>
        <w:tab w:val="left" w:pos="567"/>
      </w:tabs>
      <w:spacing w:before="83"/>
      <w:jc w:val="both"/>
    </w:pPr>
    <w:rPr>
      <w:rFonts w:ascii="Avenir Light" w:hAnsi="Avenir Light" w:cs="Times New Roman"/>
      <w:sz w:val="15"/>
      <w:szCs w:val="15"/>
      <w:lang w:val="en-GB" w:eastAsia="en-GB"/>
    </w:rPr>
  </w:style>
  <w:style w:type="table" w:styleId="TableGrid">
    <w:name w:val="Table Grid"/>
    <w:basedOn w:val="TableNormal"/>
    <w:uiPriority w:val="39"/>
    <w:rsid w:val="007224AE"/>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copy">
    <w:name w:val="body copy"/>
    <w:basedOn w:val="Normal"/>
    <w:uiPriority w:val="99"/>
    <w:rsid w:val="007224AE"/>
    <w:pPr>
      <w:widowControl w:val="0"/>
      <w:tabs>
        <w:tab w:val="left" w:pos="200"/>
      </w:tabs>
      <w:suppressAutoHyphens/>
      <w:autoSpaceDE w:val="0"/>
      <w:autoSpaceDN w:val="0"/>
      <w:adjustRightInd w:val="0"/>
      <w:spacing w:before="113" w:line="260" w:lineRule="atLeast"/>
      <w:textAlignment w:val="center"/>
    </w:pPr>
    <w:rPr>
      <w:rFonts w:ascii="MyriadPro-Light" w:hAnsi="MyriadPro-Light" w:cs="MyriadPro-Light"/>
      <w:color w:val="000000"/>
      <w:sz w:val="20"/>
      <w:szCs w:val="20"/>
      <w:lang w:val="en-GB"/>
    </w:rPr>
  </w:style>
  <w:style w:type="paragraph" w:customStyle="1" w:styleId="BasicParagraph">
    <w:name w:val="[Basic Paragraph]"/>
    <w:basedOn w:val="Normal"/>
    <w:uiPriority w:val="99"/>
    <w:rsid w:val="00C07245"/>
    <w:pPr>
      <w:widowControl w:val="0"/>
      <w:autoSpaceDE w:val="0"/>
      <w:autoSpaceDN w:val="0"/>
      <w:adjustRightInd w:val="0"/>
      <w:spacing w:line="288" w:lineRule="auto"/>
      <w:textAlignment w:val="center"/>
    </w:pPr>
    <w:rPr>
      <w:rFonts w:ascii="Times-Roman" w:hAnsi="Times-Roman" w:cs="Times-Roman"/>
      <w:color w:val="000000"/>
      <w:lang w:val="en-GB"/>
    </w:rPr>
  </w:style>
  <w:style w:type="paragraph" w:customStyle="1" w:styleId="SubSubSubHeadings">
    <w:name w:val="Sub Sub Sub Headings"/>
    <w:basedOn w:val="Normal"/>
    <w:uiPriority w:val="99"/>
    <w:rsid w:val="006C1C40"/>
    <w:pPr>
      <w:widowControl w:val="0"/>
      <w:tabs>
        <w:tab w:val="left" w:pos="200"/>
      </w:tabs>
      <w:suppressAutoHyphens/>
      <w:autoSpaceDE w:val="0"/>
      <w:autoSpaceDN w:val="0"/>
      <w:adjustRightInd w:val="0"/>
      <w:spacing w:before="227" w:line="260" w:lineRule="atLeast"/>
      <w:textAlignment w:val="center"/>
    </w:pPr>
    <w:rPr>
      <w:rFonts w:ascii="MyriadPro-Light" w:hAnsi="MyriadPro-Light" w:cs="MyriadPro-Light"/>
      <w:b/>
      <w:bCs/>
      <w:caps/>
      <w:color w:val="000000"/>
      <w:sz w:val="20"/>
      <w:szCs w:val="20"/>
      <w:lang w:val="en-GB"/>
    </w:rPr>
  </w:style>
  <w:style w:type="character" w:customStyle="1" w:styleId="Heading1Char">
    <w:name w:val="Heading 1 Char"/>
    <w:basedOn w:val="DefaultParagraphFont"/>
    <w:link w:val="Heading1"/>
    <w:uiPriority w:val="9"/>
    <w:rsid w:val="000459B8"/>
    <w:rPr>
      <w:rFonts w:asciiTheme="majorHAnsi" w:eastAsiaTheme="majorEastAsia" w:hAnsiTheme="majorHAnsi" w:cstheme="majorBidi"/>
      <w:color w:val="2F5496" w:themeColor="accent1" w:themeShade="BF"/>
      <w:sz w:val="32"/>
      <w:szCs w:val="32"/>
    </w:rPr>
  </w:style>
  <w:style w:type="character" w:customStyle="1" w:styleId="UnresolvedMention1">
    <w:name w:val="Unresolved Mention1"/>
    <w:basedOn w:val="DefaultParagraphFont"/>
    <w:uiPriority w:val="99"/>
    <w:semiHidden/>
    <w:unhideWhenUsed/>
    <w:rsid w:val="00F23CEA"/>
    <w:rPr>
      <w:color w:val="605E5C"/>
      <w:shd w:val="clear" w:color="auto" w:fill="E1DFDD"/>
    </w:rPr>
  </w:style>
  <w:style w:type="paragraph" w:customStyle="1" w:styleId="m5812761834447921217msofooter">
    <w:name w:val="m_5812761834447921217msofooter"/>
    <w:basedOn w:val="Normal"/>
    <w:rsid w:val="0098178F"/>
    <w:pPr>
      <w:spacing w:before="100" w:beforeAutospacing="1" w:after="100" w:afterAutospacing="1"/>
    </w:pPr>
    <w:rPr>
      <w:rFonts w:ascii="Times New Roman" w:hAnsi="Times New Roman" w:cs="Times New Roman"/>
      <w:lang w:val="en-GB" w:eastAsia="en-GB"/>
    </w:rPr>
  </w:style>
  <w:style w:type="character" w:customStyle="1" w:styleId="apple-converted-space">
    <w:name w:val="apple-converted-space"/>
    <w:basedOn w:val="DefaultParagraphFont"/>
    <w:rsid w:val="009817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mc.gov.au/resource-centre/domestic-policy/complaint-handling-guide-upholding-rights-children-and-young-peopl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nfo@safercommunities.net.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11</Pages>
  <Words>2817</Words>
  <Characters>16060</Characters>
  <Application>Microsoft Office Word</Application>
  <DocSecurity>0</DocSecurity>
  <Lines>133</Lines>
  <Paragraphs>37</Paragraphs>
  <ScaleCrop>false</ScaleCrop>
  <Company/>
  <LinksUpToDate>false</LinksUpToDate>
  <CharactersWithSpaces>18840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Barnett</dc:creator>
  <cp:keywords/>
  <dc:description/>
  <cp:lastModifiedBy>Peter Barnett</cp:lastModifiedBy>
  <cp:revision>32</cp:revision>
  <cp:lastPrinted>2020-03-16T05:17:00Z</cp:lastPrinted>
  <dcterms:created xsi:type="dcterms:W3CDTF">2020-03-16T00:44:00Z</dcterms:created>
  <dcterms:modified xsi:type="dcterms:W3CDTF">2020-09-08T02:37:00Z</dcterms:modified>
</cp:coreProperties>
</file>