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3B98A7F1" w14:textId="75F12897" w:rsidR="005D2158" w:rsidRPr="005D2158" w:rsidRDefault="005D2158" w:rsidP="005D2158">
      <w:pPr>
        <w:pStyle w:val="BodyText"/>
        <w:shd w:val="clear" w:color="auto" w:fill="000000" w:themeFill="text1"/>
        <w:spacing w:before="240" w:after="240" w:line="276" w:lineRule="auto"/>
        <w:ind w:right="-478"/>
        <w:jc w:val="center"/>
        <w:rPr>
          <w:rFonts w:ascii="Arial" w:hAnsi="Arial" w:cs="Arial"/>
          <w:b/>
          <w:bCs/>
          <w:sz w:val="44"/>
          <w:szCs w:val="44"/>
        </w:rPr>
      </w:pPr>
      <w:r w:rsidRPr="005D2158">
        <w:rPr>
          <w:rFonts w:ascii="Arial" w:hAnsi="Arial" w:cs="Arial"/>
          <w:b/>
          <w:bCs/>
          <w:sz w:val="44"/>
          <w:szCs w:val="44"/>
        </w:rPr>
        <w:t xml:space="preserve">Procedure – Safe </w:t>
      </w:r>
      <w:r>
        <w:rPr>
          <w:rFonts w:ascii="Arial" w:hAnsi="Arial" w:cs="Arial"/>
          <w:b/>
          <w:bCs/>
          <w:sz w:val="44"/>
          <w:szCs w:val="44"/>
        </w:rPr>
        <w:t>Community</w:t>
      </w:r>
      <w:r w:rsidRPr="005D2158">
        <w:rPr>
          <w:rFonts w:ascii="Arial" w:hAnsi="Arial" w:cs="Arial"/>
          <w:b/>
          <w:bCs/>
          <w:sz w:val="44"/>
          <w:szCs w:val="44"/>
        </w:rPr>
        <w:t xml:space="preserve"> Training and </w:t>
      </w:r>
    </w:p>
    <w:p w14:paraId="65282EF6" w14:textId="57092FC2" w:rsidR="005D2158" w:rsidRPr="005D2158" w:rsidRDefault="005D2158" w:rsidP="005D2158">
      <w:pPr>
        <w:pStyle w:val="BodyText"/>
        <w:shd w:val="clear" w:color="auto" w:fill="000000" w:themeFill="text1"/>
        <w:spacing w:before="240" w:after="240" w:line="276" w:lineRule="auto"/>
        <w:ind w:right="-478"/>
        <w:jc w:val="center"/>
        <w:rPr>
          <w:rFonts w:ascii="Arial" w:hAnsi="Arial" w:cs="Arial"/>
          <w:b/>
          <w:bCs/>
          <w:sz w:val="44"/>
          <w:szCs w:val="44"/>
        </w:rPr>
      </w:pPr>
      <w:r w:rsidRPr="005D2158">
        <w:rPr>
          <w:rFonts w:ascii="Arial" w:hAnsi="Arial" w:cs="Arial"/>
          <w:b/>
          <w:bCs/>
          <w:sz w:val="44"/>
          <w:szCs w:val="44"/>
        </w:rPr>
        <w:t>Resourcing of Workers</w:t>
      </w:r>
    </w:p>
    <w:p w14:paraId="63C2BB63" w14:textId="77777777" w:rsidR="005D2158" w:rsidRDefault="005D2158" w:rsidP="005D2158">
      <w:pPr>
        <w:spacing w:before="240" w:after="240" w:line="360" w:lineRule="auto"/>
        <w:ind w:right="285"/>
        <w:jc w:val="both"/>
        <w:rPr>
          <w:rFonts w:ascii="Arial" w:hAnsi="Arial" w:cs="Arial"/>
        </w:rPr>
      </w:pPr>
    </w:p>
    <w:p w14:paraId="519E7081" w14:textId="5412E3A8" w:rsidR="005D2158" w:rsidRPr="005D2158" w:rsidRDefault="005D2158" w:rsidP="005D2158">
      <w:pPr>
        <w:spacing w:before="240" w:after="240" w:line="360" w:lineRule="auto"/>
        <w:ind w:right="285"/>
        <w:jc w:val="both"/>
        <w:rPr>
          <w:rFonts w:ascii="Arial" w:hAnsi="Arial" w:cs="Arial"/>
        </w:rPr>
      </w:pPr>
      <w:r w:rsidRPr="005D2158">
        <w:rPr>
          <w:rFonts w:ascii="Arial" w:hAnsi="Arial" w:cs="Arial"/>
        </w:rPr>
        <w:t xml:space="preserve">The Safe </w:t>
      </w:r>
      <w:bookmarkStart w:id="0" w:name="_Hlk44240125"/>
      <w:r>
        <w:rPr>
          <w:rFonts w:ascii="Arial" w:hAnsi="Arial" w:cs="Arial"/>
        </w:rPr>
        <w:t>Community</w:t>
      </w:r>
      <w:bookmarkEnd w:id="0"/>
      <w:r w:rsidRPr="005D2158">
        <w:rPr>
          <w:rFonts w:ascii="Arial" w:hAnsi="Arial" w:cs="Arial"/>
        </w:rPr>
        <w:t xml:space="preserve"> Framework Procedure for training and resourcing of workers relates to the implementation of the following Policy statement:</w:t>
      </w:r>
    </w:p>
    <w:p w14:paraId="464ED63C" w14:textId="4966CAE2" w:rsidR="005D2158" w:rsidRPr="005D2158" w:rsidRDefault="005D2158" w:rsidP="005D2158">
      <w:pPr>
        <w:shd w:val="clear" w:color="auto" w:fill="F2F2F2" w:themeFill="background1" w:themeFillShade="F2"/>
        <w:spacing w:before="240" w:after="240" w:line="360" w:lineRule="auto"/>
        <w:ind w:right="285"/>
        <w:jc w:val="both"/>
        <w:rPr>
          <w:rFonts w:ascii="Arial" w:hAnsi="Arial" w:cs="Arial"/>
          <w:sz w:val="20"/>
          <w:szCs w:val="20"/>
        </w:rPr>
      </w:pPr>
      <w:r w:rsidRPr="005D2158">
        <w:rPr>
          <w:rFonts w:ascii="Arial" w:hAnsi="Arial" w:cs="Arial"/>
          <w:sz w:val="20"/>
          <w:szCs w:val="20"/>
        </w:rPr>
        <w:t xml:space="preserve">We commit to the welfare of all people through the implementation and ongoing improvement of our Safe Community Framework which </w:t>
      </w:r>
      <w:proofErr w:type="gramStart"/>
      <w:r w:rsidRPr="005D2158">
        <w:rPr>
          <w:rFonts w:ascii="Arial" w:hAnsi="Arial" w:cs="Arial"/>
          <w:sz w:val="20"/>
          <w:szCs w:val="20"/>
        </w:rPr>
        <w:t>includes:</w:t>
      </w:r>
      <w:proofErr w:type="gramEnd"/>
      <w:r w:rsidRPr="005D2158">
        <w:rPr>
          <w:rFonts w:ascii="Arial" w:hAnsi="Arial" w:cs="Arial"/>
          <w:sz w:val="20"/>
          <w:szCs w:val="20"/>
        </w:rPr>
        <w:t xml:space="preserve"> safe and adequate recruitment, training, supervision, support and resourcing of our workers</w:t>
      </w:r>
    </w:p>
    <w:p w14:paraId="597D9FAD" w14:textId="77777777" w:rsidR="005D2158" w:rsidRPr="005D2158" w:rsidRDefault="005D2158" w:rsidP="005D2158">
      <w:pPr>
        <w:spacing w:before="240" w:after="240" w:line="360" w:lineRule="auto"/>
        <w:ind w:right="285"/>
        <w:jc w:val="both"/>
        <w:outlineLvl w:val="3"/>
        <w:rPr>
          <w:rFonts w:ascii="Arial" w:eastAsiaTheme="majorEastAsia" w:hAnsi="Arial" w:cs="Arial"/>
          <w:b/>
          <w:bCs/>
          <w:iCs/>
          <w:color w:val="000000" w:themeColor="text1"/>
          <w:sz w:val="28"/>
          <w:szCs w:val="28"/>
          <w:lang w:val="en-GB" w:eastAsia="en-GB"/>
        </w:rPr>
      </w:pPr>
      <w:r w:rsidRPr="005D2158">
        <w:rPr>
          <w:rFonts w:ascii="Arial" w:eastAsiaTheme="majorEastAsia" w:hAnsi="Arial" w:cs="Arial"/>
          <w:b/>
          <w:bCs/>
          <w:iCs/>
          <w:color w:val="000000" w:themeColor="text1"/>
          <w:sz w:val="28"/>
          <w:szCs w:val="28"/>
        </w:rPr>
        <w:t>1.    Training</w:t>
      </w:r>
    </w:p>
    <w:p w14:paraId="43638E8F" w14:textId="77777777" w:rsidR="005D2158" w:rsidRPr="005D2158" w:rsidRDefault="005D2158" w:rsidP="005D2158">
      <w:pPr>
        <w:keepNext/>
        <w:keepLines/>
        <w:spacing w:before="240" w:after="240" w:line="360" w:lineRule="auto"/>
        <w:ind w:left="1069" w:right="285" w:hanging="425"/>
        <w:jc w:val="both"/>
        <w:outlineLvl w:val="2"/>
        <w:rPr>
          <w:rFonts w:ascii="Arial" w:eastAsiaTheme="majorEastAsia" w:hAnsi="Arial" w:cs="Arial"/>
          <w:b/>
          <w:color w:val="1F3763" w:themeColor="accent1" w:themeShade="7F"/>
        </w:rPr>
      </w:pPr>
      <w:r w:rsidRPr="005D2158">
        <w:rPr>
          <w:rFonts w:ascii="Arial" w:eastAsiaTheme="majorEastAsia" w:hAnsi="Arial" w:cs="Arial"/>
          <w:color w:val="1F3763" w:themeColor="accent1" w:themeShade="7F"/>
        </w:rPr>
        <w:t>a.</w:t>
      </w:r>
      <w:r w:rsidRPr="005D2158">
        <w:rPr>
          <w:rFonts w:ascii="Arial" w:eastAsiaTheme="majorEastAsia" w:hAnsi="Arial" w:cs="Arial"/>
          <w:color w:val="1F3763" w:themeColor="accent1" w:themeShade="7F"/>
        </w:rPr>
        <w:tab/>
        <w:t>Induction Training</w:t>
      </w:r>
    </w:p>
    <w:p w14:paraId="5D60CE34" w14:textId="77777777" w:rsidR="005D2158" w:rsidRPr="005D2158" w:rsidRDefault="005D2158" w:rsidP="005D2158">
      <w:pPr>
        <w:tabs>
          <w:tab w:val="left" w:pos="567"/>
        </w:tabs>
        <w:spacing w:before="240" w:after="240" w:line="360" w:lineRule="auto"/>
        <w:ind w:left="1069" w:right="285"/>
        <w:jc w:val="both"/>
        <w:rPr>
          <w:rFonts w:ascii="Arial" w:hAnsi="Arial" w:cs="Arial"/>
          <w:lang w:val="en-GB" w:eastAsia="en-GB"/>
        </w:rPr>
      </w:pPr>
      <w:r w:rsidRPr="005D2158">
        <w:rPr>
          <w:rFonts w:ascii="Arial" w:hAnsi="Arial" w:cs="Arial"/>
          <w:lang w:val="en-GB" w:eastAsia="en-GB"/>
        </w:rPr>
        <w:t xml:space="preserve">All workers will be fully inducted in relation to: </w:t>
      </w:r>
    </w:p>
    <w:p w14:paraId="65D37AF4" w14:textId="77777777" w:rsidR="005D2158" w:rsidRPr="005D2158" w:rsidRDefault="005D2158" w:rsidP="005D2158">
      <w:pPr>
        <w:numPr>
          <w:ilvl w:val="1"/>
          <w:numId w:val="19"/>
        </w:numPr>
        <w:spacing w:before="240" w:after="240" w:line="360" w:lineRule="auto"/>
        <w:ind w:right="285"/>
        <w:jc w:val="both"/>
        <w:rPr>
          <w:rFonts w:ascii="Arial" w:hAnsi="Arial" w:cs="Arial"/>
        </w:rPr>
      </w:pPr>
      <w:r w:rsidRPr="005D2158">
        <w:rPr>
          <w:rFonts w:ascii="Arial" w:hAnsi="Arial" w:cs="Arial"/>
        </w:rPr>
        <w:t>Knowledge of operating procedures that apply to equipment, programs and general site health and safety.</w:t>
      </w:r>
    </w:p>
    <w:p w14:paraId="7D20C937" w14:textId="77777777" w:rsidR="005D2158" w:rsidRPr="005D2158" w:rsidRDefault="005D2158" w:rsidP="005D2158">
      <w:pPr>
        <w:numPr>
          <w:ilvl w:val="1"/>
          <w:numId w:val="19"/>
        </w:numPr>
        <w:tabs>
          <w:tab w:val="left" w:pos="993"/>
        </w:tabs>
        <w:spacing w:before="240" w:after="240" w:line="360" w:lineRule="auto"/>
        <w:ind w:right="285"/>
        <w:jc w:val="both"/>
        <w:rPr>
          <w:rFonts w:ascii="Arial" w:hAnsi="Arial" w:cs="Arial"/>
        </w:rPr>
      </w:pPr>
      <w:r w:rsidRPr="005D2158">
        <w:rPr>
          <w:rFonts w:ascii="Arial" w:hAnsi="Arial" w:cs="Arial"/>
        </w:rPr>
        <w:t>Code of conduct expectations and appropriate behaviours for workers.</w:t>
      </w:r>
    </w:p>
    <w:p w14:paraId="6DD4365E" w14:textId="7FA53638" w:rsidR="005D2158" w:rsidRPr="005D2158" w:rsidRDefault="005D2158" w:rsidP="005D2158">
      <w:pPr>
        <w:keepNext/>
        <w:keepLines/>
        <w:spacing w:before="240" w:after="240" w:line="360" w:lineRule="auto"/>
        <w:ind w:left="1069" w:right="285" w:hanging="425"/>
        <w:jc w:val="both"/>
        <w:outlineLvl w:val="2"/>
        <w:rPr>
          <w:rFonts w:ascii="Arial" w:eastAsiaTheme="majorEastAsia" w:hAnsi="Arial" w:cs="Arial"/>
          <w:b/>
          <w:iCs/>
          <w:color w:val="1F3763" w:themeColor="accent1" w:themeShade="7F"/>
        </w:rPr>
      </w:pPr>
      <w:r w:rsidRPr="005D2158">
        <w:rPr>
          <w:rFonts w:ascii="Arial" w:eastAsiaTheme="majorEastAsia" w:hAnsi="Arial" w:cs="Arial"/>
          <w:iCs/>
          <w:color w:val="1F3763" w:themeColor="accent1" w:themeShade="7F"/>
        </w:rPr>
        <w:t>b.</w:t>
      </w:r>
      <w:r w:rsidRPr="005D2158">
        <w:rPr>
          <w:rFonts w:ascii="Arial" w:eastAsiaTheme="majorEastAsia" w:hAnsi="Arial" w:cs="Arial"/>
          <w:iCs/>
          <w:color w:val="1F3763" w:themeColor="accent1" w:themeShade="7F"/>
        </w:rPr>
        <w:tab/>
        <w:t>Safe Community Training</w:t>
      </w:r>
    </w:p>
    <w:p w14:paraId="0136A9DD" w14:textId="6A66DD58" w:rsidR="005D2158" w:rsidRPr="005D2158" w:rsidRDefault="005D2158" w:rsidP="005D2158">
      <w:pPr>
        <w:numPr>
          <w:ilvl w:val="0"/>
          <w:numId w:val="20"/>
        </w:numPr>
        <w:spacing w:before="240" w:after="240" w:line="360" w:lineRule="auto"/>
        <w:ind w:right="285"/>
        <w:jc w:val="both"/>
        <w:rPr>
          <w:rFonts w:ascii="Arial" w:hAnsi="Arial" w:cs="Arial"/>
        </w:rPr>
      </w:pPr>
      <w:r w:rsidRPr="005D2158">
        <w:rPr>
          <w:rFonts w:ascii="Arial" w:hAnsi="Arial" w:cs="Arial"/>
        </w:rPr>
        <w:t>All workers will receive initial and ongoing training in Safe Communit</w:t>
      </w:r>
      <w:r w:rsidR="009440CF">
        <w:rPr>
          <w:rFonts w:ascii="Arial" w:hAnsi="Arial" w:cs="Arial"/>
        </w:rPr>
        <w:t>y training</w:t>
      </w:r>
      <w:r w:rsidRPr="005D2158">
        <w:rPr>
          <w:rFonts w:ascii="Arial" w:hAnsi="Arial" w:cs="Arial"/>
        </w:rPr>
        <w:t xml:space="preserve">: including empowering and including all people, </w:t>
      </w:r>
      <w:proofErr w:type="gramStart"/>
      <w:r w:rsidRPr="005D2158">
        <w:rPr>
          <w:rFonts w:ascii="Arial" w:hAnsi="Arial" w:cs="Arial"/>
        </w:rPr>
        <w:t>identifying</w:t>
      </w:r>
      <w:proofErr w:type="gramEnd"/>
      <w:r w:rsidRPr="005D2158">
        <w:rPr>
          <w:rFonts w:ascii="Arial" w:hAnsi="Arial" w:cs="Arial"/>
        </w:rPr>
        <w:t xml:space="preserve"> and responding to children and vulnerable people at risk of harm, and safe environments (duty of care).</w:t>
      </w:r>
    </w:p>
    <w:p w14:paraId="291F448D" w14:textId="77777777" w:rsidR="005D2158" w:rsidRPr="005D2158" w:rsidRDefault="005D2158" w:rsidP="005D2158">
      <w:pPr>
        <w:keepNext/>
        <w:keepLines/>
        <w:spacing w:before="240" w:after="240" w:line="360" w:lineRule="auto"/>
        <w:ind w:left="1069" w:right="285" w:hanging="425"/>
        <w:jc w:val="both"/>
        <w:outlineLvl w:val="2"/>
        <w:rPr>
          <w:rFonts w:ascii="Arial" w:eastAsiaTheme="majorEastAsia" w:hAnsi="Arial" w:cs="Arial"/>
          <w:b/>
          <w:i/>
          <w:color w:val="1F3763" w:themeColor="accent1" w:themeShade="7F"/>
        </w:rPr>
      </w:pPr>
      <w:r w:rsidRPr="005D2158">
        <w:rPr>
          <w:rFonts w:ascii="Arial" w:eastAsiaTheme="majorEastAsia" w:hAnsi="Arial" w:cs="Arial"/>
          <w:iCs/>
          <w:color w:val="1F3763" w:themeColor="accent1" w:themeShade="7F"/>
        </w:rPr>
        <w:t>c</w:t>
      </w:r>
      <w:r w:rsidRPr="005D2158">
        <w:rPr>
          <w:rFonts w:ascii="Arial" w:eastAsiaTheme="majorEastAsia" w:hAnsi="Arial" w:cs="Arial"/>
          <w:i/>
          <w:color w:val="1F3763" w:themeColor="accent1" w:themeShade="7F"/>
        </w:rPr>
        <w:t>.</w:t>
      </w:r>
      <w:r w:rsidRPr="005D2158">
        <w:rPr>
          <w:rFonts w:ascii="Arial" w:eastAsiaTheme="majorEastAsia" w:hAnsi="Arial" w:cs="Arial"/>
          <w:i/>
          <w:color w:val="1F3763" w:themeColor="accent1" w:themeShade="7F"/>
        </w:rPr>
        <w:tab/>
      </w:r>
      <w:r w:rsidRPr="005D2158">
        <w:rPr>
          <w:rFonts w:ascii="Arial" w:eastAsiaTheme="majorEastAsia" w:hAnsi="Arial" w:cs="Arial"/>
          <w:iCs/>
          <w:color w:val="1F3763" w:themeColor="accent1" w:themeShade="7F"/>
        </w:rPr>
        <w:t>Ongoing in-service training</w:t>
      </w:r>
      <w:r w:rsidRPr="005D2158">
        <w:rPr>
          <w:rFonts w:ascii="Arial" w:eastAsiaTheme="majorEastAsia" w:hAnsi="Arial" w:cs="Arial"/>
          <w:i/>
          <w:color w:val="1F3763" w:themeColor="accent1" w:themeShade="7F"/>
        </w:rPr>
        <w:t xml:space="preserve"> </w:t>
      </w:r>
    </w:p>
    <w:p w14:paraId="2F9590B8" w14:textId="77777777" w:rsidR="005D2158" w:rsidRPr="005D2158" w:rsidRDefault="005D2158" w:rsidP="005D2158">
      <w:pPr>
        <w:numPr>
          <w:ilvl w:val="0"/>
          <w:numId w:val="21"/>
        </w:numPr>
        <w:spacing w:before="240" w:after="240" w:line="360" w:lineRule="auto"/>
        <w:ind w:right="285"/>
        <w:jc w:val="both"/>
        <w:rPr>
          <w:rFonts w:ascii="Arial" w:hAnsi="Arial" w:cs="Arial"/>
        </w:rPr>
      </w:pPr>
      <w:r w:rsidRPr="005D2158">
        <w:rPr>
          <w:rFonts w:ascii="Arial" w:hAnsi="Arial" w:cs="Arial"/>
        </w:rPr>
        <w:t xml:space="preserve">The Management Group will arrange ongoing staff and worker professional development as is appropriate to the worker’s role, e.g. </w:t>
      </w:r>
      <w:r w:rsidRPr="005D2158">
        <w:rPr>
          <w:rFonts w:ascii="Arial" w:hAnsi="Arial" w:cs="Arial"/>
        </w:rPr>
        <w:lastRenderedPageBreak/>
        <w:t>first aid, specific qualifications as necessary for the successful carrying out of the worker’s role.</w:t>
      </w:r>
    </w:p>
    <w:p w14:paraId="17DDAA5E" w14:textId="77777777" w:rsidR="005D2158" w:rsidRPr="005D2158" w:rsidRDefault="005D2158" w:rsidP="005D2158">
      <w:pPr>
        <w:spacing w:before="240" w:after="240" w:line="360" w:lineRule="auto"/>
        <w:ind w:right="285"/>
        <w:jc w:val="both"/>
        <w:rPr>
          <w:rFonts w:ascii="Arial" w:hAnsi="Arial" w:cs="Arial"/>
          <w:color w:val="000000" w:themeColor="text1"/>
          <w:sz w:val="28"/>
          <w:szCs w:val="28"/>
        </w:rPr>
      </w:pPr>
    </w:p>
    <w:p w14:paraId="2DDD86DE" w14:textId="77777777" w:rsidR="005D2158" w:rsidRPr="005D2158" w:rsidRDefault="005D2158" w:rsidP="005D2158">
      <w:pPr>
        <w:spacing w:before="240" w:after="240" w:line="360" w:lineRule="auto"/>
        <w:ind w:right="285"/>
        <w:jc w:val="both"/>
        <w:rPr>
          <w:rFonts w:ascii="Arial" w:hAnsi="Arial" w:cs="Arial"/>
          <w:b/>
          <w:bCs/>
        </w:rPr>
      </w:pPr>
      <w:r w:rsidRPr="005D2158">
        <w:rPr>
          <w:rFonts w:ascii="Arial" w:hAnsi="Arial" w:cs="Arial"/>
          <w:b/>
          <w:bCs/>
          <w:color w:val="000000" w:themeColor="text1"/>
          <w:sz w:val="28"/>
          <w:szCs w:val="28"/>
        </w:rPr>
        <w:t>2</w:t>
      </w:r>
      <w:r w:rsidRPr="005D2158">
        <w:rPr>
          <w:rFonts w:ascii="Arial" w:hAnsi="Arial" w:cs="Arial"/>
          <w:b/>
          <w:bCs/>
          <w:color w:val="000000" w:themeColor="text1"/>
          <w:sz w:val="28"/>
          <w:szCs w:val="28"/>
        </w:rPr>
        <w:tab/>
        <w:t>Resourcing of workers</w:t>
      </w:r>
    </w:p>
    <w:p w14:paraId="268BC303" w14:textId="44463A04" w:rsidR="005D2158" w:rsidRPr="005D2158" w:rsidRDefault="005D2158" w:rsidP="005D2158">
      <w:pPr>
        <w:numPr>
          <w:ilvl w:val="0"/>
          <w:numId w:val="18"/>
        </w:numPr>
        <w:spacing w:before="240" w:after="240" w:line="360" w:lineRule="auto"/>
        <w:ind w:left="1276" w:right="285" w:hanging="426"/>
        <w:jc w:val="both"/>
        <w:rPr>
          <w:rFonts w:ascii="Arial" w:hAnsi="Arial" w:cs="Arial"/>
        </w:rPr>
      </w:pPr>
      <w:r w:rsidRPr="005D2158">
        <w:rPr>
          <w:rFonts w:ascii="Arial" w:hAnsi="Arial" w:cs="Arial"/>
        </w:rPr>
        <w:t xml:space="preserve">The Governance Board will ensure the programs of the </w:t>
      </w:r>
      <w:r>
        <w:rPr>
          <w:rFonts w:ascii="Arial" w:hAnsi="Arial" w:cs="Arial"/>
        </w:rPr>
        <w:t>organisation</w:t>
      </w:r>
      <w:r w:rsidRPr="005D2158">
        <w:rPr>
          <w:rFonts w:ascii="Arial" w:hAnsi="Arial" w:cs="Arial"/>
        </w:rPr>
        <w:t xml:space="preserve"> are adequately resourced with human resources and equipment for the safe and effective running of the program.</w:t>
      </w:r>
    </w:p>
    <w:p w14:paraId="5AC50971" w14:textId="77777777" w:rsidR="005D2158" w:rsidRPr="005D2158" w:rsidRDefault="005D2158" w:rsidP="005D2158">
      <w:pPr>
        <w:numPr>
          <w:ilvl w:val="0"/>
          <w:numId w:val="18"/>
        </w:numPr>
        <w:spacing w:before="240" w:after="240" w:line="360" w:lineRule="auto"/>
        <w:ind w:left="1276" w:right="285" w:hanging="426"/>
        <w:jc w:val="both"/>
        <w:rPr>
          <w:rFonts w:ascii="Arial" w:hAnsi="Arial" w:cs="Arial"/>
        </w:rPr>
      </w:pPr>
      <w:r w:rsidRPr="005D2158">
        <w:rPr>
          <w:rFonts w:ascii="Arial" w:hAnsi="Arial" w:cs="Arial"/>
        </w:rPr>
        <w:t>The Management Group will ensure that program leaders and workers are resourced with the equipment and qualified persons to run the events and activities that are programmed.</w:t>
      </w:r>
    </w:p>
    <w:p w14:paraId="540810D9" w14:textId="77777777" w:rsidR="005D2158" w:rsidRPr="005D2158" w:rsidRDefault="005D2158" w:rsidP="005D2158">
      <w:pPr>
        <w:numPr>
          <w:ilvl w:val="0"/>
          <w:numId w:val="18"/>
        </w:numPr>
        <w:spacing w:before="240" w:after="240" w:line="360" w:lineRule="auto"/>
        <w:ind w:left="1276" w:right="285" w:hanging="426"/>
        <w:jc w:val="both"/>
        <w:rPr>
          <w:rFonts w:ascii="Arial" w:hAnsi="Arial" w:cs="Arial"/>
        </w:rPr>
      </w:pPr>
      <w:r w:rsidRPr="005D2158">
        <w:rPr>
          <w:rFonts w:ascii="Arial" w:hAnsi="Arial" w:cs="Arial"/>
        </w:rPr>
        <w:t xml:space="preserve">Workers will report to the Management Group when </w:t>
      </w:r>
      <w:proofErr w:type="gramStart"/>
      <w:r w:rsidRPr="005D2158">
        <w:rPr>
          <w:rFonts w:ascii="Arial" w:hAnsi="Arial" w:cs="Arial"/>
        </w:rPr>
        <w:t>there’s</w:t>
      </w:r>
      <w:proofErr w:type="gramEnd"/>
      <w:r w:rsidRPr="005D2158">
        <w:rPr>
          <w:rFonts w:ascii="Arial" w:hAnsi="Arial" w:cs="Arial"/>
        </w:rPr>
        <w:t xml:space="preserve"> a shortage of supplies prior to the operation of events and activities, to ensure that these supplies can be replaced for the effective operation of the event or activity. </w:t>
      </w:r>
    </w:p>
    <w:p w14:paraId="547B406E" w14:textId="77777777" w:rsidR="005D2158" w:rsidRPr="005D2158" w:rsidRDefault="005D2158" w:rsidP="005D2158">
      <w:pPr>
        <w:spacing w:before="240" w:after="240" w:line="360" w:lineRule="auto"/>
        <w:ind w:left="850" w:right="285"/>
        <w:jc w:val="both"/>
        <w:rPr>
          <w:rFonts w:ascii="Arial" w:hAnsi="Arial" w:cs="Arial"/>
        </w:rPr>
      </w:pPr>
    </w:p>
    <w:p w14:paraId="6993E881" w14:textId="77777777" w:rsidR="00AA404E" w:rsidRDefault="00AA404E" w:rsidP="001E3805">
      <w:pPr>
        <w:ind w:right="284"/>
        <w:jc w:val="both"/>
        <w:rPr>
          <w:rFonts w:ascii="Arial" w:hAnsi="Arial" w:cs="Arial"/>
          <w:b/>
          <w:bCs/>
          <w:color w:val="222222"/>
        </w:rPr>
      </w:pPr>
    </w:p>
    <w:p w14:paraId="7014FB05" w14:textId="19A07BE3" w:rsidR="00AA404E" w:rsidRDefault="00AA404E" w:rsidP="001E3805">
      <w:pPr>
        <w:ind w:right="284"/>
        <w:jc w:val="both"/>
        <w:rPr>
          <w:rFonts w:ascii="Arial" w:hAnsi="Arial" w:cs="Arial"/>
          <w:b/>
          <w:bCs/>
          <w:color w:val="222222"/>
        </w:rPr>
      </w:pPr>
    </w:p>
    <w:p w14:paraId="3CBD80B7" w14:textId="4CFFD0BC" w:rsidR="009440CF" w:rsidRDefault="009440CF" w:rsidP="001E3805">
      <w:pPr>
        <w:ind w:right="284"/>
        <w:jc w:val="both"/>
        <w:rPr>
          <w:rFonts w:ascii="Arial" w:hAnsi="Arial" w:cs="Arial"/>
          <w:b/>
          <w:bCs/>
          <w:color w:val="222222"/>
        </w:rPr>
      </w:pPr>
    </w:p>
    <w:p w14:paraId="0CF7977D" w14:textId="117B4C10" w:rsidR="009440CF" w:rsidRDefault="009440CF" w:rsidP="001E3805">
      <w:pPr>
        <w:ind w:right="284"/>
        <w:jc w:val="both"/>
        <w:rPr>
          <w:rFonts w:ascii="Arial" w:hAnsi="Arial" w:cs="Arial"/>
          <w:b/>
          <w:bCs/>
          <w:color w:val="222222"/>
        </w:rPr>
      </w:pPr>
    </w:p>
    <w:p w14:paraId="4221B763" w14:textId="228525F0" w:rsidR="009440CF" w:rsidRDefault="009440CF" w:rsidP="001E3805">
      <w:pPr>
        <w:ind w:right="284"/>
        <w:jc w:val="both"/>
        <w:rPr>
          <w:rFonts w:ascii="Arial" w:hAnsi="Arial" w:cs="Arial"/>
          <w:b/>
          <w:bCs/>
          <w:color w:val="222222"/>
        </w:rPr>
      </w:pPr>
    </w:p>
    <w:p w14:paraId="690D1AE9" w14:textId="36CE5BB9" w:rsidR="009440CF" w:rsidRDefault="009440CF" w:rsidP="001E3805">
      <w:pPr>
        <w:ind w:right="284"/>
        <w:jc w:val="both"/>
        <w:rPr>
          <w:rFonts w:ascii="Arial" w:hAnsi="Arial" w:cs="Arial"/>
          <w:b/>
          <w:bCs/>
          <w:color w:val="222222"/>
        </w:rPr>
      </w:pPr>
    </w:p>
    <w:p w14:paraId="25A1A472" w14:textId="452E73E5" w:rsidR="009440CF" w:rsidRDefault="009440CF" w:rsidP="001E3805">
      <w:pPr>
        <w:ind w:right="284"/>
        <w:jc w:val="both"/>
        <w:rPr>
          <w:rFonts w:ascii="Arial" w:hAnsi="Arial" w:cs="Arial"/>
          <w:b/>
          <w:bCs/>
          <w:color w:val="222222"/>
        </w:rPr>
      </w:pPr>
    </w:p>
    <w:p w14:paraId="2220E0CD" w14:textId="625CCC52" w:rsidR="009440CF" w:rsidRDefault="009440CF" w:rsidP="001E3805">
      <w:pPr>
        <w:ind w:right="284"/>
        <w:jc w:val="both"/>
        <w:rPr>
          <w:rFonts w:ascii="Arial" w:hAnsi="Arial" w:cs="Arial"/>
          <w:b/>
          <w:bCs/>
          <w:color w:val="222222"/>
        </w:rPr>
      </w:pPr>
    </w:p>
    <w:p w14:paraId="1D175A4E" w14:textId="23F0271F" w:rsidR="009440CF" w:rsidRDefault="009440CF" w:rsidP="001E3805">
      <w:pPr>
        <w:ind w:right="284"/>
        <w:jc w:val="both"/>
        <w:rPr>
          <w:rFonts w:ascii="Arial" w:hAnsi="Arial" w:cs="Arial"/>
          <w:b/>
          <w:bCs/>
          <w:color w:val="222222"/>
        </w:rPr>
      </w:pPr>
    </w:p>
    <w:p w14:paraId="4F19A05C" w14:textId="2529C9EE" w:rsidR="009440CF" w:rsidRDefault="009440CF" w:rsidP="001E3805">
      <w:pPr>
        <w:ind w:right="284"/>
        <w:jc w:val="both"/>
        <w:rPr>
          <w:rFonts w:ascii="Arial" w:hAnsi="Arial" w:cs="Arial"/>
          <w:b/>
          <w:bCs/>
          <w:color w:val="222222"/>
        </w:rPr>
      </w:pPr>
    </w:p>
    <w:p w14:paraId="4F348780" w14:textId="2D3F23C0" w:rsidR="009440CF" w:rsidRDefault="009440CF" w:rsidP="001E3805">
      <w:pPr>
        <w:ind w:right="284"/>
        <w:jc w:val="both"/>
        <w:rPr>
          <w:rFonts w:ascii="Arial" w:hAnsi="Arial" w:cs="Arial"/>
          <w:b/>
          <w:bCs/>
          <w:color w:val="222222"/>
        </w:rPr>
      </w:pPr>
    </w:p>
    <w:p w14:paraId="6A4B45F4" w14:textId="64C78D3C" w:rsidR="009440CF" w:rsidRDefault="009440CF" w:rsidP="001E3805">
      <w:pPr>
        <w:ind w:right="284"/>
        <w:jc w:val="both"/>
        <w:rPr>
          <w:rFonts w:ascii="Arial" w:hAnsi="Arial" w:cs="Arial"/>
          <w:b/>
          <w:bCs/>
          <w:color w:val="222222"/>
        </w:rPr>
      </w:pPr>
    </w:p>
    <w:p w14:paraId="568230B4" w14:textId="5B935789" w:rsidR="009440CF" w:rsidRDefault="009440CF" w:rsidP="001E3805">
      <w:pPr>
        <w:ind w:right="284"/>
        <w:jc w:val="both"/>
        <w:rPr>
          <w:rFonts w:ascii="Arial" w:hAnsi="Arial" w:cs="Arial"/>
          <w:b/>
          <w:bCs/>
          <w:color w:val="222222"/>
        </w:rPr>
      </w:pPr>
    </w:p>
    <w:p w14:paraId="3E91FD0F" w14:textId="01A5FD92" w:rsidR="009440CF" w:rsidRDefault="009440CF" w:rsidP="001E3805">
      <w:pPr>
        <w:ind w:right="284"/>
        <w:jc w:val="both"/>
        <w:rPr>
          <w:rFonts w:ascii="Arial" w:hAnsi="Arial" w:cs="Arial"/>
          <w:b/>
          <w:bCs/>
          <w:color w:val="222222"/>
        </w:rPr>
      </w:pPr>
    </w:p>
    <w:p w14:paraId="57FD8AB3" w14:textId="77777777" w:rsidR="009440CF" w:rsidRDefault="009440CF" w:rsidP="001E3805">
      <w:pPr>
        <w:ind w:right="284"/>
        <w:jc w:val="both"/>
        <w:rPr>
          <w:rFonts w:ascii="Arial" w:hAnsi="Arial" w:cs="Arial"/>
          <w:b/>
          <w:bCs/>
          <w:color w:val="222222"/>
        </w:rPr>
      </w:pPr>
    </w:p>
    <w:p w14:paraId="3ADEB560" w14:textId="77777777" w:rsidR="00AA404E" w:rsidRDefault="00AA404E" w:rsidP="001E3805">
      <w:pPr>
        <w:ind w:right="284"/>
        <w:jc w:val="both"/>
        <w:rPr>
          <w:rFonts w:ascii="Arial" w:hAnsi="Arial" w:cs="Arial"/>
          <w:b/>
          <w:bCs/>
          <w:color w:val="222222"/>
        </w:rPr>
      </w:pPr>
    </w:p>
    <w:p w14:paraId="7A003CC0" w14:textId="6FEEE547" w:rsidR="001E3805" w:rsidRPr="009440CF" w:rsidRDefault="001E3805" w:rsidP="001E3805">
      <w:pPr>
        <w:ind w:right="284"/>
        <w:jc w:val="both"/>
        <w:rPr>
          <w:rFonts w:ascii="Arial" w:hAnsi="Arial" w:cs="Arial"/>
          <w:color w:val="222222"/>
          <w:sz w:val="20"/>
          <w:szCs w:val="20"/>
        </w:rPr>
      </w:pPr>
      <w:r w:rsidRPr="009440CF">
        <w:rPr>
          <w:rFonts w:ascii="Arial" w:hAnsi="Arial" w:cs="Arial"/>
          <w:b/>
          <w:bCs/>
          <w:color w:val="222222"/>
          <w:sz w:val="20"/>
          <w:szCs w:val="20"/>
        </w:rPr>
        <w:t>Copyright © 2020 Safe Ministry Resources Pty Ltd</w:t>
      </w:r>
      <w:r w:rsidRPr="009440CF">
        <w:rPr>
          <w:rStyle w:val="apple-converted-space"/>
          <w:rFonts w:ascii="Arial" w:hAnsi="Arial" w:cs="Arial"/>
          <w:b/>
          <w:bCs/>
          <w:color w:val="222222"/>
          <w:sz w:val="20"/>
          <w:szCs w:val="20"/>
        </w:rPr>
        <w:t> </w:t>
      </w:r>
    </w:p>
    <w:p w14:paraId="7627801E" w14:textId="77777777" w:rsidR="001E3805" w:rsidRPr="009440CF" w:rsidRDefault="001E3805" w:rsidP="001E3805">
      <w:pPr>
        <w:ind w:right="284"/>
        <w:jc w:val="both"/>
        <w:rPr>
          <w:rFonts w:ascii="Arial" w:hAnsi="Arial" w:cs="Arial"/>
          <w:color w:val="222222"/>
          <w:sz w:val="16"/>
          <w:szCs w:val="16"/>
        </w:rPr>
      </w:pPr>
      <w:r w:rsidRPr="009440CF">
        <w:rPr>
          <w:rFonts w:ascii="Arial" w:hAnsi="Arial" w:cs="Arial"/>
          <w:color w:val="222222"/>
          <w:sz w:val="16"/>
          <w:szCs w:val="16"/>
        </w:rPr>
        <w:t> </w:t>
      </w:r>
    </w:p>
    <w:p w14:paraId="646AEE2A" w14:textId="77777777" w:rsidR="001E3805" w:rsidRPr="009440CF" w:rsidRDefault="001E3805" w:rsidP="001E3805">
      <w:pPr>
        <w:ind w:right="284"/>
        <w:jc w:val="both"/>
        <w:rPr>
          <w:rFonts w:ascii="Arial" w:hAnsi="Arial" w:cs="Arial"/>
          <w:color w:val="222222"/>
          <w:sz w:val="16"/>
          <w:szCs w:val="16"/>
        </w:rPr>
      </w:pPr>
      <w:r w:rsidRPr="009440CF">
        <w:rPr>
          <w:rFonts w:ascii="Arial" w:hAnsi="Arial" w:cs="Arial"/>
          <w:color w:val="222222"/>
          <w:sz w:val="16"/>
          <w:szCs w:val="16"/>
        </w:rPr>
        <w:t>The</w:t>
      </w:r>
      <w:r w:rsidRPr="009440CF">
        <w:rPr>
          <w:rStyle w:val="apple-converted-space"/>
          <w:rFonts w:ascii="Arial" w:hAnsi="Arial" w:cs="Arial"/>
          <w:color w:val="222222"/>
          <w:sz w:val="16"/>
          <w:szCs w:val="16"/>
        </w:rPr>
        <w:t> </w:t>
      </w:r>
      <w:r w:rsidRPr="009440CF">
        <w:rPr>
          <w:rFonts w:ascii="Arial" w:hAnsi="Arial" w:cs="Arial"/>
          <w:b/>
          <w:bCs/>
          <w:color w:val="222222"/>
          <w:sz w:val="16"/>
          <w:szCs w:val="16"/>
        </w:rPr>
        <w:t>Safe Community Framework</w:t>
      </w:r>
      <w:r w:rsidRPr="009440CF">
        <w:rPr>
          <w:rStyle w:val="apple-converted-space"/>
          <w:rFonts w:ascii="Arial" w:hAnsi="Arial" w:cs="Arial"/>
          <w:color w:val="222222"/>
          <w:sz w:val="16"/>
          <w:szCs w:val="16"/>
        </w:rPr>
        <w:t> </w:t>
      </w:r>
      <w:r w:rsidRPr="009440CF">
        <w:rPr>
          <w:rFonts w:ascii="Arial" w:hAnsi="Arial" w:cs="Arial"/>
          <w:color w:val="222222"/>
          <w:sz w:val="16"/>
          <w:szCs w:val="16"/>
        </w:rPr>
        <w:t>is developed and owned by SMR Pty Ltd.</w:t>
      </w:r>
      <w:r w:rsidRPr="009440CF">
        <w:rPr>
          <w:rStyle w:val="apple-converted-space"/>
          <w:rFonts w:ascii="Arial" w:hAnsi="Arial" w:cs="Arial"/>
          <w:color w:val="222222"/>
          <w:sz w:val="16"/>
          <w:szCs w:val="16"/>
        </w:rPr>
        <w:t> </w:t>
      </w:r>
    </w:p>
    <w:p w14:paraId="1C1A3FAA" w14:textId="77777777" w:rsidR="002B4294" w:rsidRDefault="002B4294" w:rsidP="001E3805">
      <w:pPr>
        <w:ind w:right="284"/>
        <w:jc w:val="both"/>
        <w:rPr>
          <w:rFonts w:ascii="Arial" w:hAnsi="Arial" w:cs="Arial"/>
          <w:color w:val="222222"/>
          <w:sz w:val="16"/>
          <w:szCs w:val="16"/>
        </w:rPr>
      </w:pPr>
      <w:r w:rsidRPr="002B4294">
        <w:rPr>
          <w:rFonts w:ascii="Arial" w:hAnsi="Arial" w:cs="Arial"/>
          <w:color w:val="222222"/>
          <w:sz w:val="16"/>
          <w:szCs w:val="16"/>
        </w:rPr>
        <w:t xml:space="preserve">This document cannot be modified without express written permission through a licence agreement. </w:t>
      </w:r>
    </w:p>
    <w:p w14:paraId="286C6EDF" w14:textId="7D576067" w:rsidR="001E3805" w:rsidRPr="009440CF" w:rsidRDefault="001E3805" w:rsidP="001E3805">
      <w:pPr>
        <w:ind w:right="284"/>
        <w:jc w:val="both"/>
        <w:rPr>
          <w:rFonts w:ascii="Arial" w:hAnsi="Arial" w:cs="Arial"/>
          <w:color w:val="222222"/>
          <w:sz w:val="16"/>
          <w:szCs w:val="16"/>
        </w:rPr>
      </w:pPr>
      <w:r w:rsidRPr="009440CF">
        <w:rPr>
          <w:rFonts w:ascii="Arial" w:hAnsi="Arial" w:cs="Arial"/>
          <w:color w:val="222222"/>
          <w:sz w:val="16"/>
          <w:szCs w:val="16"/>
        </w:rPr>
        <w:t xml:space="preserve">Please contact </w:t>
      </w:r>
      <w:bookmarkStart w:id="1" w:name="_Hlk43278981"/>
      <w:r w:rsidRPr="009440CF">
        <w:rPr>
          <w:rFonts w:ascii="Arial" w:hAnsi="Arial" w:cs="Arial"/>
          <w:color w:val="222222"/>
          <w:sz w:val="16"/>
          <w:szCs w:val="16"/>
        </w:rPr>
        <w:t>Safe Community Resources</w:t>
      </w:r>
      <w:bookmarkEnd w:id="1"/>
      <w:r w:rsidRPr="009440CF">
        <w:rPr>
          <w:rFonts w:ascii="Arial" w:hAnsi="Arial" w:cs="Arial"/>
          <w:color w:val="222222"/>
          <w:sz w:val="16"/>
          <w:szCs w:val="16"/>
        </w:rPr>
        <w:t xml:space="preserve"> at </w:t>
      </w:r>
      <w:r w:rsidRPr="009440CF">
        <w:rPr>
          <w:rStyle w:val="apple-converted-space"/>
          <w:rFonts w:ascii="Arial" w:hAnsi="Arial" w:cs="Arial"/>
          <w:color w:val="222222"/>
          <w:sz w:val="16"/>
          <w:szCs w:val="16"/>
        </w:rPr>
        <w:t> </w:t>
      </w:r>
      <w:hyperlink r:id="rId6" w:tgtFrame="_blank" w:history="1">
        <w:r w:rsidRPr="009440CF">
          <w:rPr>
            <w:rStyle w:val="Hyperlink"/>
            <w:rFonts w:ascii="Arial" w:hAnsi="Arial" w:cs="Arial"/>
            <w:color w:val="1155CC"/>
            <w:sz w:val="16"/>
            <w:szCs w:val="16"/>
          </w:rPr>
          <w:t>info@safercommunities.net.au</w:t>
        </w:r>
      </w:hyperlink>
      <w:r w:rsidRPr="009440CF">
        <w:rPr>
          <w:rStyle w:val="apple-converted-space"/>
          <w:rFonts w:ascii="Arial" w:hAnsi="Arial" w:cs="Arial"/>
          <w:color w:val="222222"/>
          <w:sz w:val="16"/>
          <w:szCs w:val="16"/>
        </w:rPr>
        <w:t> </w:t>
      </w:r>
      <w:r w:rsidRPr="009440CF">
        <w:rPr>
          <w:rFonts w:ascii="Arial" w:hAnsi="Arial" w:cs="Arial"/>
          <w:color w:val="222222"/>
          <w:sz w:val="16"/>
          <w:szCs w:val="16"/>
        </w:rPr>
        <w:t>to seek permission.</w:t>
      </w:r>
      <w:r w:rsidRPr="009440CF">
        <w:rPr>
          <w:rStyle w:val="apple-converted-space"/>
          <w:rFonts w:ascii="Arial" w:hAnsi="Arial" w:cs="Arial"/>
          <w:color w:val="222222"/>
          <w:sz w:val="16"/>
          <w:szCs w:val="16"/>
        </w:rPr>
        <w:t> </w:t>
      </w:r>
    </w:p>
    <w:p w14:paraId="62E6232C" w14:textId="77777777" w:rsidR="001E3805" w:rsidRPr="009440CF" w:rsidRDefault="001E3805" w:rsidP="001E3805">
      <w:pPr>
        <w:ind w:right="89"/>
        <w:rPr>
          <w:rFonts w:ascii="Arial" w:hAnsi="Arial" w:cs="Arial"/>
          <w:color w:val="222222"/>
          <w:sz w:val="16"/>
          <w:szCs w:val="16"/>
        </w:rPr>
      </w:pPr>
      <w:r w:rsidRPr="009440CF">
        <w:rPr>
          <w:rFonts w:ascii="Arial" w:hAnsi="Arial" w:cs="Arial"/>
          <w:color w:val="222222"/>
          <w:sz w:val="16"/>
          <w:szCs w:val="16"/>
        </w:rPr>
        <w:t xml:space="preserve">Safe Community Resources can also provide customisation services to your organisation </w:t>
      </w:r>
      <w:proofErr w:type="gramStart"/>
      <w:r w:rsidRPr="009440CF">
        <w:rPr>
          <w:rFonts w:ascii="Arial" w:hAnsi="Arial" w:cs="Arial"/>
          <w:color w:val="222222"/>
          <w:sz w:val="16"/>
          <w:szCs w:val="16"/>
        </w:rPr>
        <w:t>in the area of</w:t>
      </w:r>
      <w:proofErr w:type="gramEnd"/>
      <w:r w:rsidRPr="009440CF">
        <w:rPr>
          <w:rFonts w:ascii="Arial" w:hAnsi="Arial" w:cs="Arial"/>
          <w:color w:val="222222"/>
          <w:sz w:val="16"/>
          <w:szCs w:val="16"/>
        </w:rPr>
        <w:t xml:space="preserve"> implementation of the</w:t>
      </w:r>
      <w:r w:rsidRPr="009440CF">
        <w:rPr>
          <w:rStyle w:val="apple-converted-space"/>
          <w:rFonts w:ascii="Arial" w:hAnsi="Arial" w:cs="Arial"/>
          <w:color w:val="222222"/>
          <w:sz w:val="16"/>
          <w:szCs w:val="16"/>
        </w:rPr>
        <w:t> </w:t>
      </w:r>
      <w:r w:rsidRPr="009440CF">
        <w:rPr>
          <w:rFonts w:ascii="Arial" w:hAnsi="Arial" w:cs="Arial"/>
          <w:b/>
          <w:bCs/>
          <w:color w:val="222222"/>
          <w:sz w:val="16"/>
          <w:szCs w:val="16"/>
        </w:rPr>
        <w:t>Safe Community Framework</w:t>
      </w:r>
      <w:r w:rsidRPr="009440CF">
        <w:rPr>
          <w:rStyle w:val="apple-converted-space"/>
          <w:rFonts w:ascii="Arial" w:hAnsi="Arial" w:cs="Arial"/>
          <w:color w:val="222222"/>
          <w:sz w:val="16"/>
          <w:szCs w:val="16"/>
        </w:rPr>
        <w:t> </w:t>
      </w:r>
      <w:r w:rsidRPr="009440CF">
        <w:rPr>
          <w:rFonts w:ascii="Arial" w:hAnsi="Arial" w:cs="Arial"/>
          <w:color w:val="222222"/>
          <w:sz w:val="16"/>
          <w:szCs w:val="16"/>
        </w:rPr>
        <w:t xml:space="preserve">for your organisation. </w:t>
      </w:r>
    </w:p>
    <w:p w14:paraId="31E037BC" w14:textId="77777777" w:rsidR="001E3805" w:rsidRPr="009440CF" w:rsidRDefault="001E3805" w:rsidP="001E3805">
      <w:pPr>
        <w:ind w:right="284"/>
        <w:jc w:val="both"/>
        <w:rPr>
          <w:rFonts w:ascii="Arial" w:hAnsi="Arial" w:cs="Arial"/>
          <w:color w:val="222222"/>
          <w:sz w:val="16"/>
          <w:szCs w:val="16"/>
        </w:rPr>
      </w:pPr>
      <w:r w:rsidRPr="009440CF">
        <w:rPr>
          <w:rFonts w:ascii="Arial" w:hAnsi="Arial" w:cs="Arial"/>
          <w:color w:val="222222"/>
          <w:sz w:val="16"/>
          <w:szCs w:val="16"/>
        </w:rPr>
        <w:t> </w:t>
      </w:r>
    </w:p>
    <w:p w14:paraId="13766BE3" w14:textId="34BEEBDE" w:rsidR="00FC2CD3" w:rsidRPr="009440CF" w:rsidRDefault="001E3805" w:rsidP="009440CF">
      <w:pPr>
        <w:pStyle w:val="m5812761834447921217msofooter"/>
        <w:spacing w:before="0" w:beforeAutospacing="0" w:after="0" w:afterAutospacing="0"/>
        <w:rPr>
          <w:rFonts w:ascii="Arial" w:hAnsi="Arial" w:cs="Arial"/>
          <w:color w:val="222222"/>
          <w:sz w:val="16"/>
          <w:szCs w:val="16"/>
        </w:rPr>
      </w:pPr>
      <w:r w:rsidRPr="009440CF">
        <w:rPr>
          <w:rFonts w:ascii="Arial" w:hAnsi="Arial" w:cs="Arial"/>
          <w:b/>
          <w:bCs/>
          <w:color w:val="222222"/>
          <w:sz w:val="16"/>
          <w:szCs w:val="16"/>
        </w:rPr>
        <w:t>Disclaimer</w:t>
      </w:r>
      <w:r w:rsidRPr="009440CF">
        <w:rPr>
          <w:rFonts w:ascii="Arial" w:hAnsi="Arial" w:cs="Arial"/>
          <w:color w:val="222222"/>
          <w:sz w:val="16"/>
          <w:szCs w:val="16"/>
        </w:rPr>
        <w:t>:</w:t>
      </w:r>
      <w:r w:rsidRPr="009440CF">
        <w:rPr>
          <w:rStyle w:val="apple-converted-space"/>
          <w:rFonts w:ascii="Arial" w:hAnsi="Arial" w:cs="Arial"/>
          <w:color w:val="222222"/>
          <w:sz w:val="16"/>
          <w:szCs w:val="16"/>
        </w:rPr>
        <w:t> </w:t>
      </w:r>
      <w:r w:rsidRPr="009440CF">
        <w:rPr>
          <w:rFonts w:ascii="Arial" w:hAnsi="Arial" w:cs="Arial"/>
          <w:color w:val="222222"/>
          <w:sz w:val="16"/>
          <w:szCs w:val="16"/>
        </w:rPr>
        <w:t>This publication is not legal advice. The ideas and procedures herein are based on nationally recognised good practice advice and have been written with due regard to Australian legislation March 2020. </w:t>
      </w:r>
      <w:r w:rsidRPr="009440CF">
        <w:rPr>
          <w:rStyle w:val="apple-converted-space"/>
          <w:rFonts w:ascii="Arial" w:hAnsi="Arial" w:cs="Arial"/>
          <w:color w:val="222222"/>
          <w:sz w:val="16"/>
          <w:szCs w:val="16"/>
        </w:rPr>
        <w:t> </w:t>
      </w:r>
      <w:r w:rsidRPr="009440CF">
        <w:rPr>
          <w:rFonts w:ascii="Arial" w:hAnsi="Arial" w:cs="Arial"/>
          <w:color w:val="222222"/>
          <w:sz w:val="16"/>
          <w:szCs w:val="16"/>
        </w:rPr>
        <w:br/>
        <w:t>Legal advice may need to be sought when responding to individual incidents.</w:t>
      </w:r>
    </w:p>
    <w:sectPr w:rsidR="00FC2CD3" w:rsidRPr="009440CF"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Avenir"/>
    <w:charset w:val="4D"/>
    <w:family w:val="swiss"/>
    <w:pitch w:val="variable"/>
    <w:sig w:usb0="800000AF" w:usb1="5000204A" w:usb2="00000000" w:usb3="00000000" w:csb0="0000009B" w:csb1="00000000"/>
  </w:font>
  <w:font w:name="Avenir Light">
    <w:panose1 w:val="020B0402020203020204"/>
    <w:charset w:val="00"/>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B3B"/>
    <w:multiLevelType w:val="hybridMultilevel"/>
    <w:tmpl w:val="CAC807AC"/>
    <w:lvl w:ilvl="0" w:tplc="6F604DC6">
      <w:start w:val="1"/>
      <w:numFmt w:val="lowerRoman"/>
      <w:lvlText w:val="%1."/>
      <w:lvlJc w:val="right"/>
      <w:pPr>
        <w:ind w:left="720" w:hanging="360"/>
      </w:pPr>
      <w:rPr>
        <w:rFonts w:hint="default"/>
        <w:color w:val="000000" w:themeColor="text1"/>
      </w:rPr>
    </w:lvl>
    <w:lvl w:ilvl="1" w:tplc="6F604DC6">
      <w:start w:val="1"/>
      <w:numFmt w:val="lowerRoman"/>
      <w:lvlText w:val="%2."/>
      <w:lvlJc w:val="right"/>
      <w:pPr>
        <w:ind w:left="1440" w:hanging="360"/>
      </w:pPr>
      <w:rPr>
        <w:rFonts w:hint="default"/>
        <w:color w:val="000000" w:themeColor="text1"/>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6643B"/>
    <w:multiLevelType w:val="hybridMultilevel"/>
    <w:tmpl w:val="EE306D6A"/>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4"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AB0F35"/>
    <w:multiLevelType w:val="hybridMultilevel"/>
    <w:tmpl w:val="9A6489EC"/>
    <w:lvl w:ilvl="0" w:tplc="6F604DC6">
      <w:start w:val="1"/>
      <w:numFmt w:val="lowerRoman"/>
      <w:lvlText w:val="%1."/>
      <w:lvlJc w:val="right"/>
      <w:pPr>
        <w:ind w:left="1429" w:hanging="360"/>
      </w:pPr>
      <w:rPr>
        <w:rFonts w:hint="default"/>
        <w:color w:val="000000" w:themeColor="text1"/>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C20430"/>
    <w:multiLevelType w:val="hybridMultilevel"/>
    <w:tmpl w:val="3E98DF0E"/>
    <w:lvl w:ilvl="0" w:tplc="AC7CB5F6">
      <w:start w:val="1"/>
      <w:numFmt w:val="lowerLetter"/>
      <w:lvlText w:val="%1."/>
      <w:lvlJc w:val="left"/>
      <w:pPr>
        <w:ind w:left="1290" w:hanging="320"/>
      </w:pPr>
      <w:rPr>
        <w:rFonts w:hint="default"/>
        <w:b w:val="0"/>
        <w:i w:val="0"/>
        <w:iCs w:val="0"/>
        <w:color w:val="000000" w:themeColor="text1"/>
      </w:rPr>
    </w:lvl>
    <w:lvl w:ilvl="1" w:tplc="08090019" w:tentative="1">
      <w:start w:val="1"/>
      <w:numFmt w:val="lowerLetter"/>
      <w:lvlText w:val="%2."/>
      <w:lvlJc w:val="left"/>
      <w:pPr>
        <w:ind w:left="2116" w:hanging="360"/>
      </w:pPr>
    </w:lvl>
    <w:lvl w:ilvl="2" w:tplc="0809001B" w:tentative="1">
      <w:start w:val="1"/>
      <w:numFmt w:val="lowerRoman"/>
      <w:lvlText w:val="%3."/>
      <w:lvlJc w:val="right"/>
      <w:pPr>
        <w:ind w:left="2836" w:hanging="180"/>
      </w:pPr>
    </w:lvl>
    <w:lvl w:ilvl="3" w:tplc="0809000F" w:tentative="1">
      <w:start w:val="1"/>
      <w:numFmt w:val="decimal"/>
      <w:lvlText w:val="%4."/>
      <w:lvlJc w:val="left"/>
      <w:pPr>
        <w:ind w:left="3556" w:hanging="360"/>
      </w:pPr>
    </w:lvl>
    <w:lvl w:ilvl="4" w:tplc="08090019" w:tentative="1">
      <w:start w:val="1"/>
      <w:numFmt w:val="lowerLetter"/>
      <w:lvlText w:val="%5."/>
      <w:lvlJc w:val="left"/>
      <w:pPr>
        <w:ind w:left="4276" w:hanging="360"/>
      </w:pPr>
    </w:lvl>
    <w:lvl w:ilvl="5" w:tplc="0809001B" w:tentative="1">
      <w:start w:val="1"/>
      <w:numFmt w:val="lowerRoman"/>
      <w:lvlText w:val="%6."/>
      <w:lvlJc w:val="right"/>
      <w:pPr>
        <w:ind w:left="4996" w:hanging="180"/>
      </w:pPr>
    </w:lvl>
    <w:lvl w:ilvl="6" w:tplc="0809000F" w:tentative="1">
      <w:start w:val="1"/>
      <w:numFmt w:val="decimal"/>
      <w:lvlText w:val="%7."/>
      <w:lvlJc w:val="left"/>
      <w:pPr>
        <w:ind w:left="5716" w:hanging="360"/>
      </w:pPr>
    </w:lvl>
    <w:lvl w:ilvl="7" w:tplc="08090019" w:tentative="1">
      <w:start w:val="1"/>
      <w:numFmt w:val="lowerLetter"/>
      <w:lvlText w:val="%8."/>
      <w:lvlJc w:val="left"/>
      <w:pPr>
        <w:ind w:left="6436" w:hanging="360"/>
      </w:pPr>
    </w:lvl>
    <w:lvl w:ilvl="8" w:tplc="0809001B" w:tentative="1">
      <w:start w:val="1"/>
      <w:numFmt w:val="lowerRoman"/>
      <w:lvlText w:val="%9."/>
      <w:lvlJc w:val="right"/>
      <w:pPr>
        <w:ind w:left="7156" w:hanging="180"/>
      </w:pPr>
    </w:lvl>
  </w:abstractNum>
  <w:num w:numId="1">
    <w:abstractNumId w:val="2"/>
  </w:num>
  <w:num w:numId="2">
    <w:abstractNumId w:val="14"/>
  </w:num>
  <w:num w:numId="3">
    <w:abstractNumId w:val="11"/>
  </w:num>
  <w:num w:numId="4">
    <w:abstractNumId w:val="19"/>
  </w:num>
  <w:num w:numId="5">
    <w:abstractNumId w:val="10"/>
  </w:num>
  <w:num w:numId="6">
    <w:abstractNumId w:val="9"/>
  </w:num>
  <w:num w:numId="7">
    <w:abstractNumId w:val="16"/>
  </w:num>
  <w:num w:numId="8">
    <w:abstractNumId w:val="6"/>
  </w:num>
  <w:num w:numId="9">
    <w:abstractNumId w:val="4"/>
  </w:num>
  <w:num w:numId="10">
    <w:abstractNumId w:val="15"/>
  </w:num>
  <w:num w:numId="11">
    <w:abstractNumId w:val="1"/>
    <w:lvlOverride w:ilvl="0">
      <w:lvl w:ilvl="0">
        <w:numFmt w:val="decimal"/>
        <w:lvlText w:val="%1."/>
        <w:lvlJc w:val="left"/>
      </w:lvl>
    </w:lvlOverride>
  </w:num>
  <w:num w:numId="12">
    <w:abstractNumId w:val="8"/>
  </w:num>
  <w:num w:numId="13">
    <w:abstractNumId w:val="12"/>
  </w:num>
  <w:num w:numId="14">
    <w:abstractNumId w:val="13"/>
  </w:num>
  <w:num w:numId="15">
    <w:abstractNumId w:val="7"/>
  </w:num>
  <w:num w:numId="16">
    <w:abstractNumId w:val="17"/>
  </w:num>
  <w:num w:numId="17">
    <w:abstractNumId w:val="5"/>
  </w:num>
  <w:num w:numId="18">
    <w:abstractNumId w:val="20"/>
  </w:num>
  <w:num w:numId="19">
    <w:abstractNumId w:val="0"/>
  </w:num>
  <w:num w:numId="20">
    <w:abstractNumId w:val="1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E3805"/>
    <w:rsid w:val="001F0674"/>
    <w:rsid w:val="001F776B"/>
    <w:rsid w:val="002066B1"/>
    <w:rsid w:val="00266351"/>
    <w:rsid w:val="002B4294"/>
    <w:rsid w:val="004248BC"/>
    <w:rsid w:val="004A4232"/>
    <w:rsid w:val="005272EB"/>
    <w:rsid w:val="0055322D"/>
    <w:rsid w:val="005641FB"/>
    <w:rsid w:val="005A3D51"/>
    <w:rsid w:val="005D2158"/>
    <w:rsid w:val="0068128D"/>
    <w:rsid w:val="00686F8F"/>
    <w:rsid w:val="00867DCA"/>
    <w:rsid w:val="009440CF"/>
    <w:rsid w:val="00952B0D"/>
    <w:rsid w:val="009E2761"/>
    <w:rsid w:val="00AA404E"/>
    <w:rsid w:val="00AB0C8E"/>
    <w:rsid w:val="00AE4846"/>
    <w:rsid w:val="00B33283"/>
    <w:rsid w:val="00B55752"/>
    <w:rsid w:val="00B81584"/>
    <w:rsid w:val="00D365D0"/>
    <w:rsid w:val="00F33C4E"/>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403</Words>
  <Characters>2302</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2020-06-28T02:37:00Z</dcterms:created>
  <dcterms:modified xsi:type="dcterms:W3CDTF">2020-09-09T01:16:00Z</dcterms:modified>
</cp:coreProperties>
</file>